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578C" w:rsidRPr="0001156A" w:rsidRDefault="00AD578C" w:rsidP="00AD578C">
      <w:pPr>
        <w:widowControl w:val="0"/>
        <w:autoSpaceDE w:val="0"/>
        <w:autoSpaceDN w:val="0"/>
        <w:adjustRightInd w:val="0"/>
        <w:ind w:firstLine="708"/>
        <w:rPr>
          <w:rFonts w:cs="Geneva"/>
          <w:b/>
          <w:i/>
          <w:color w:val="232323"/>
          <w:szCs w:val="26"/>
          <w:lang w:eastAsia="es-ES_tradnl"/>
        </w:rPr>
      </w:pPr>
      <w:r>
        <w:rPr>
          <w:rFonts w:cs="Geneva"/>
          <w:b/>
          <w:i/>
          <w:color w:val="232323"/>
          <w:szCs w:val="26"/>
          <w:lang w:eastAsia="es-ES_tradnl"/>
        </w:rPr>
        <w:t xml:space="preserve">1. </w:t>
      </w:r>
      <w:r w:rsidRPr="0001156A">
        <w:rPr>
          <w:rFonts w:cs="Geneva"/>
          <w:b/>
          <w:i/>
          <w:color w:val="232323"/>
          <w:szCs w:val="26"/>
          <w:lang w:eastAsia="es-ES_tradnl"/>
        </w:rPr>
        <w:t>Los protagonistas de la práctica educativa</w:t>
      </w:r>
    </w:p>
    <w:p w:rsidR="00AD578C" w:rsidRDefault="00AD578C" w:rsidP="00AD578C">
      <w:pPr>
        <w:widowControl w:val="0"/>
        <w:autoSpaceDE w:val="0"/>
        <w:autoSpaceDN w:val="0"/>
        <w:adjustRightInd w:val="0"/>
        <w:ind w:firstLine="708"/>
        <w:jc w:val="both"/>
        <w:rPr>
          <w:rFonts w:cs="Geneva"/>
          <w:color w:val="232323"/>
          <w:szCs w:val="26"/>
          <w:lang w:eastAsia="es-ES_tradnl"/>
        </w:rPr>
      </w:pPr>
    </w:p>
    <w:p w:rsidR="00AD578C" w:rsidRDefault="00AD578C" w:rsidP="00AD578C">
      <w:pPr>
        <w:widowControl w:val="0"/>
        <w:autoSpaceDE w:val="0"/>
        <w:autoSpaceDN w:val="0"/>
        <w:adjustRightInd w:val="0"/>
        <w:ind w:firstLine="708"/>
        <w:jc w:val="both"/>
        <w:rPr>
          <w:rFonts w:cs="Geneva"/>
          <w:color w:val="232323"/>
          <w:szCs w:val="26"/>
          <w:lang w:eastAsia="es-ES_tradnl"/>
        </w:rPr>
      </w:pPr>
    </w:p>
    <w:p w:rsidR="00AD578C" w:rsidRDefault="00AD578C" w:rsidP="00AD578C">
      <w:pPr>
        <w:widowControl w:val="0"/>
        <w:autoSpaceDE w:val="0"/>
        <w:autoSpaceDN w:val="0"/>
        <w:adjustRightInd w:val="0"/>
        <w:ind w:firstLine="708"/>
        <w:jc w:val="both"/>
        <w:rPr>
          <w:rFonts w:cs="Verdana"/>
          <w:b/>
          <w:iCs/>
          <w:sz w:val="20"/>
          <w:szCs w:val="20"/>
          <w:lang w:eastAsia="es-ES_tradnl"/>
        </w:rPr>
      </w:pPr>
      <w:r w:rsidRPr="00F1195C">
        <w:rPr>
          <w:rFonts w:cs="Verdana"/>
          <w:b/>
          <w:iCs/>
          <w:sz w:val="20"/>
          <w:szCs w:val="20"/>
          <w:lang w:eastAsia="es-ES_tradnl"/>
        </w:rPr>
        <w:t>«Enseñar no es transferir conocimiento, sino crear las posibilidades para su... producción o construcción.»</w:t>
      </w:r>
      <w:r w:rsidRPr="00F1195C">
        <w:rPr>
          <w:rFonts w:cs="Verdana"/>
          <w:b/>
          <w:sz w:val="20"/>
          <w:szCs w:val="20"/>
          <w:lang w:eastAsia="es-ES_tradnl"/>
        </w:rPr>
        <w:t xml:space="preserve">- </w:t>
      </w:r>
      <w:r>
        <w:rPr>
          <w:rFonts w:cs="Verdana"/>
          <w:b/>
          <w:sz w:val="20"/>
          <w:szCs w:val="20"/>
          <w:lang w:eastAsia="es-ES_tradnl"/>
        </w:rPr>
        <w:t xml:space="preserve">Paulo Freire (Pedagogía de la autonomía. Editorial Paz y Tierra, Sao Paulo,  2004) </w:t>
      </w:r>
    </w:p>
    <w:p w:rsidR="00AD578C" w:rsidRPr="006B4DB3" w:rsidRDefault="00AD578C" w:rsidP="00AD578C">
      <w:pPr>
        <w:widowControl w:val="0"/>
        <w:autoSpaceDE w:val="0"/>
        <w:autoSpaceDN w:val="0"/>
        <w:adjustRightInd w:val="0"/>
        <w:ind w:firstLine="708"/>
        <w:jc w:val="both"/>
        <w:rPr>
          <w:rFonts w:cs="Verdana"/>
          <w:b/>
          <w:iCs/>
          <w:sz w:val="20"/>
          <w:szCs w:val="20"/>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Pr="0018531C" w:rsidRDefault="00AD578C" w:rsidP="00AD578C">
      <w:pPr>
        <w:widowControl w:val="0"/>
        <w:autoSpaceDE w:val="0"/>
        <w:autoSpaceDN w:val="0"/>
        <w:adjustRightInd w:val="0"/>
        <w:ind w:firstLine="708"/>
        <w:jc w:val="both"/>
        <w:rPr>
          <w:rFonts w:cs="Arial"/>
          <w:szCs w:val="20"/>
          <w:lang w:eastAsia="es-ES_tradnl"/>
        </w:rPr>
      </w:pPr>
      <w:r w:rsidRPr="0018531C">
        <w:rPr>
          <w:rFonts w:cs="Geneva"/>
          <w:color w:val="232323"/>
          <w:szCs w:val="26"/>
          <w:lang w:eastAsia="es-ES_tradnl"/>
        </w:rPr>
        <w:t>Si part</w:t>
      </w:r>
      <w:r>
        <w:rPr>
          <w:rFonts w:cs="Geneva"/>
          <w:color w:val="232323"/>
          <w:szCs w:val="26"/>
          <w:lang w:eastAsia="es-ES_tradnl"/>
        </w:rPr>
        <w:t xml:space="preserve">imos de la premisa que enseñar </w:t>
      </w:r>
      <w:r w:rsidRPr="0018531C">
        <w:rPr>
          <w:rFonts w:cs="Geneva"/>
          <w:color w:val="232323"/>
          <w:szCs w:val="26"/>
          <w:lang w:eastAsia="es-ES_tradnl"/>
        </w:rPr>
        <w:t xml:space="preserve">significa motivar e involucrar a los estudiantes en un proceso de construcción y reconstrucción de sus propios conocimientos, habilidades, actitudes, afectos, formas de comportamiento y valores,  podremos comprender que </w:t>
      </w:r>
      <w:r>
        <w:rPr>
          <w:rFonts w:cs="Geneva"/>
          <w:color w:val="232323"/>
          <w:szCs w:val="26"/>
          <w:lang w:eastAsia="es-ES_tradnl"/>
        </w:rPr>
        <w:t xml:space="preserve">aprender </w:t>
      </w:r>
      <w:r w:rsidRPr="0018531C">
        <w:rPr>
          <w:rFonts w:cs="Geneva"/>
          <w:color w:val="232323"/>
          <w:szCs w:val="26"/>
          <w:lang w:eastAsia="es-ES_tradnl"/>
        </w:rPr>
        <w:t xml:space="preserve">no es otra cosa más que hacer que vivan y sientan que la ciencia es una actividad humana y no un conjunto de conocimientos que deben </w:t>
      </w:r>
      <w:r>
        <w:rPr>
          <w:rFonts w:cs="Geneva"/>
          <w:color w:val="232323"/>
          <w:szCs w:val="26"/>
          <w:lang w:eastAsia="es-ES_tradnl"/>
        </w:rPr>
        <w:t>memorizar para luego repetir o recitar sin ningún fin aparente</w:t>
      </w:r>
      <w:r w:rsidRPr="0018531C">
        <w:rPr>
          <w:rFonts w:cs="Geneva"/>
          <w:color w:val="232323"/>
          <w:szCs w:val="26"/>
          <w:lang w:eastAsia="es-ES_tradnl"/>
        </w:rPr>
        <w:t xml:space="preserve">. </w:t>
      </w:r>
      <w:r>
        <w:rPr>
          <w:rFonts w:cs="Geneva"/>
          <w:color w:val="232323"/>
          <w:szCs w:val="26"/>
          <w:lang w:eastAsia="es-ES_tradnl"/>
        </w:rPr>
        <w:t xml:space="preserve"> Y es este hecho en sí mismo, lo que da cuenta de la urgente necesidad de un</w:t>
      </w:r>
      <w:r w:rsidRPr="0018531C">
        <w:rPr>
          <w:rFonts w:cs="Geneva"/>
          <w:color w:val="232323"/>
          <w:szCs w:val="26"/>
          <w:lang w:eastAsia="es-ES_tradnl"/>
        </w:rPr>
        <w:t xml:space="preserve"> cambio conceptual en la educación, centrado</w:t>
      </w:r>
      <w:r>
        <w:rPr>
          <w:rFonts w:cs="Geneva"/>
          <w:color w:val="232323"/>
          <w:szCs w:val="26"/>
          <w:lang w:eastAsia="es-ES_tradnl"/>
        </w:rPr>
        <w:t xml:space="preserve"> principalmente,</w:t>
      </w:r>
      <w:r w:rsidRPr="0018531C">
        <w:rPr>
          <w:rFonts w:cs="Geneva"/>
          <w:color w:val="232323"/>
          <w:szCs w:val="26"/>
          <w:lang w:eastAsia="es-ES_tradnl"/>
        </w:rPr>
        <w:t xml:space="preserve"> en mover el centro de atención desde la </w:t>
      </w:r>
      <w:r>
        <w:rPr>
          <w:rFonts w:cs="Geneva"/>
          <w:color w:val="232323"/>
          <w:szCs w:val="26"/>
          <w:lang w:eastAsia="es-ES_tradnl"/>
        </w:rPr>
        <w:t xml:space="preserve">enseñanza hacia el aprendizaje; </w:t>
      </w:r>
      <w:proofErr w:type="spellStart"/>
      <w:r>
        <w:rPr>
          <w:rFonts w:cs="Geneva"/>
          <w:color w:val="232323"/>
          <w:szCs w:val="26"/>
          <w:lang w:eastAsia="es-ES_tradnl"/>
        </w:rPr>
        <w:t>r</w:t>
      </w:r>
      <w:r w:rsidRPr="0018531C">
        <w:rPr>
          <w:rFonts w:cs="Geneva"/>
          <w:color w:val="232323"/>
          <w:szCs w:val="26"/>
          <w:lang w:eastAsia="es-ES_tradnl"/>
        </w:rPr>
        <w:t>econceptualizando</w:t>
      </w:r>
      <w:proofErr w:type="spellEnd"/>
      <w:r w:rsidRPr="0018531C">
        <w:rPr>
          <w:rFonts w:cs="Geneva"/>
          <w:color w:val="232323"/>
          <w:szCs w:val="26"/>
          <w:lang w:eastAsia="es-ES_tradnl"/>
        </w:rPr>
        <w:t xml:space="preserve"> la actividad de estudio del alumno, considerando al profesor  como un orientador, facilitador o mediador d</w:t>
      </w:r>
      <w:r>
        <w:rPr>
          <w:rFonts w:cs="Geneva"/>
          <w:color w:val="232323"/>
          <w:szCs w:val="26"/>
          <w:lang w:eastAsia="es-ES_tradnl"/>
        </w:rPr>
        <w:t>el aprendizaje del estudiante y s</w:t>
      </w:r>
      <w:r w:rsidRPr="0018531C">
        <w:rPr>
          <w:rFonts w:cs="Geneva"/>
          <w:color w:val="232323"/>
          <w:szCs w:val="26"/>
          <w:lang w:eastAsia="es-ES_tradnl"/>
        </w:rPr>
        <w:t>ometiendo a discusión la concepción de la actividad del profesor desde una perspectiva de la  educación basada en el aprendizaje, cuyo centro</w:t>
      </w:r>
      <w:r>
        <w:rPr>
          <w:rFonts w:cs="Geneva"/>
          <w:color w:val="232323"/>
          <w:szCs w:val="26"/>
          <w:lang w:eastAsia="es-ES_tradnl"/>
        </w:rPr>
        <w:t xml:space="preserve">, entonces, </w:t>
      </w:r>
      <w:r w:rsidRPr="0018531C">
        <w:rPr>
          <w:rFonts w:cs="Geneva"/>
          <w:color w:val="232323"/>
          <w:szCs w:val="26"/>
          <w:lang w:eastAsia="es-ES_tradnl"/>
        </w:rPr>
        <w:t xml:space="preserve"> es el estudiante. </w:t>
      </w:r>
    </w:p>
    <w:p w:rsidR="00AD578C" w:rsidRPr="0018531C" w:rsidRDefault="00AD578C" w:rsidP="00AD578C">
      <w:pPr>
        <w:widowControl w:val="0"/>
        <w:autoSpaceDE w:val="0"/>
        <w:autoSpaceDN w:val="0"/>
        <w:adjustRightInd w:val="0"/>
        <w:jc w:val="both"/>
        <w:rPr>
          <w:rFonts w:cs="Arial"/>
          <w:szCs w:val="20"/>
          <w:lang w:eastAsia="es-ES_tradnl"/>
        </w:rPr>
      </w:pPr>
      <w:r w:rsidRPr="0018531C">
        <w:rPr>
          <w:rFonts w:cs="Microsoft Sans Serif"/>
          <w:color w:val="232323"/>
          <w:szCs w:val="26"/>
          <w:lang w:eastAsia="es-ES_tradnl"/>
        </w:rPr>
        <w:t>﻿</w:t>
      </w:r>
      <w:r w:rsidRPr="0018531C">
        <w:rPr>
          <w:rFonts w:cs="Geneva"/>
          <w:color w:val="232323"/>
          <w:szCs w:val="26"/>
          <w:lang w:eastAsia="es-ES_tradnl"/>
        </w:rPr>
        <w:t xml:space="preserve">        </w:t>
      </w:r>
    </w:p>
    <w:p w:rsidR="00AD578C" w:rsidRPr="006B4DB3" w:rsidRDefault="00AD578C" w:rsidP="00AD578C">
      <w:pPr>
        <w:widowControl w:val="0"/>
        <w:autoSpaceDE w:val="0"/>
        <w:autoSpaceDN w:val="0"/>
        <w:adjustRightInd w:val="0"/>
        <w:ind w:firstLine="708"/>
        <w:jc w:val="both"/>
        <w:rPr>
          <w:rFonts w:cs="Arial"/>
          <w:szCs w:val="20"/>
          <w:lang w:eastAsia="es-ES_tradnl"/>
        </w:rPr>
      </w:pPr>
      <w:r w:rsidRPr="0018531C">
        <w:rPr>
          <w:rFonts w:cs="Geneva"/>
          <w:color w:val="232323"/>
          <w:szCs w:val="26"/>
          <w:lang w:eastAsia="es-ES_tradnl"/>
        </w:rPr>
        <w:t xml:space="preserve"> Si </w:t>
      </w:r>
      <w:r>
        <w:rPr>
          <w:rFonts w:cs="Geneva"/>
          <w:color w:val="232323"/>
          <w:szCs w:val="26"/>
          <w:lang w:eastAsia="es-ES_tradnl"/>
        </w:rPr>
        <w:t xml:space="preserve">además </w:t>
      </w:r>
      <w:r w:rsidRPr="0018531C">
        <w:rPr>
          <w:rFonts w:cs="Geneva"/>
          <w:color w:val="232323"/>
          <w:szCs w:val="26"/>
          <w:lang w:eastAsia="es-ES_tradnl"/>
        </w:rPr>
        <w:t>entendemos</w:t>
      </w:r>
      <w:r>
        <w:rPr>
          <w:rFonts w:cs="Geneva"/>
          <w:color w:val="232323"/>
          <w:szCs w:val="26"/>
          <w:lang w:eastAsia="es-ES_tradnl"/>
        </w:rPr>
        <w:t xml:space="preserve">, </w:t>
      </w:r>
      <w:r w:rsidRPr="0018531C">
        <w:rPr>
          <w:rFonts w:cs="Geneva"/>
          <w:color w:val="232323"/>
          <w:szCs w:val="26"/>
          <w:lang w:eastAsia="es-ES_tradnl"/>
        </w:rPr>
        <w:t>que lo que diferencia al proceso de enseñanza aprendizaje de otros procesos, es que lo que se transforma no es un objeto material inanimado, sino un ser humano, una persona, que se modifica a sí misma con la ayuda de otras per</w:t>
      </w:r>
      <w:r>
        <w:rPr>
          <w:rFonts w:cs="Geneva"/>
          <w:color w:val="232323"/>
          <w:szCs w:val="26"/>
          <w:lang w:eastAsia="es-ES_tradnl"/>
        </w:rPr>
        <w:t xml:space="preserve">sonas más capaces y </w:t>
      </w:r>
      <w:r w:rsidRPr="0018531C">
        <w:rPr>
          <w:rFonts w:cs="Geneva"/>
          <w:color w:val="232323"/>
          <w:szCs w:val="26"/>
          <w:lang w:eastAsia="es-ES_tradnl"/>
        </w:rPr>
        <w:t>especialmente con la guía, orientación y mediación del profesor, comprenderemos</w:t>
      </w:r>
      <w:r>
        <w:rPr>
          <w:rFonts w:cs="Geneva"/>
          <w:color w:val="232323"/>
          <w:szCs w:val="26"/>
          <w:lang w:eastAsia="es-ES_tradnl"/>
        </w:rPr>
        <w:t xml:space="preserve">, entonces, </w:t>
      </w:r>
      <w:r w:rsidRPr="0018531C">
        <w:rPr>
          <w:rFonts w:cs="Geneva"/>
          <w:color w:val="232323"/>
          <w:szCs w:val="26"/>
          <w:lang w:eastAsia="es-ES_tradnl"/>
        </w:rPr>
        <w:t xml:space="preserve"> que el objeto de la actividad del profesor no es exactamente el estudiante, sino </w:t>
      </w:r>
      <w:r>
        <w:rPr>
          <w:rFonts w:cs="Geneva"/>
          <w:color w:val="232323"/>
          <w:szCs w:val="26"/>
          <w:lang w:eastAsia="es-ES_tradnl"/>
        </w:rPr>
        <w:t xml:space="preserve">más bien </w:t>
      </w:r>
      <w:r w:rsidRPr="0018531C">
        <w:rPr>
          <w:rFonts w:cs="Geneva"/>
          <w:color w:val="232323"/>
          <w:szCs w:val="26"/>
          <w:lang w:eastAsia="es-ES_tradnl"/>
        </w:rPr>
        <w:t>la dirección de su aprendizaje</w:t>
      </w:r>
      <w:r>
        <w:rPr>
          <w:rFonts w:cs="Geneva"/>
          <w:color w:val="232323"/>
          <w:szCs w:val="26"/>
          <w:lang w:eastAsia="es-ES_tradnl"/>
        </w:rPr>
        <w:t xml:space="preserve"> considerando que </w:t>
      </w:r>
      <w:r w:rsidRPr="006B4DB3">
        <w:rPr>
          <w:rFonts w:cs="Geneva"/>
          <w:color w:val="232323"/>
          <w:szCs w:val="26"/>
          <w:lang w:eastAsia="es-ES_tradnl"/>
        </w:rPr>
        <w:t xml:space="preserve"> para </w:t>
      </w:r>
      <w:r>
        <w:rPr>
          <w:rFonts w:cs="Geneva"/>
          <w:color w:val="232323"/>
          <w:szCs w:val="26"/>
          <w:lang w:eastAsia="es-ES_tradnl"/>
        </w:rPr>
        <w:t>ello se</w:t>
      </w:r>
      <w:r w:rsidRPr="006B4DB3">
        <w:rPr>
          <w:rFonts w:cs="Geneva"/>
          <w:color w:val="232323"/>
          <w:szCs w:val="26"/>
          <w:lang w:eastAsia="es-ES_tradnl"/>
        </w:rPr>
        <w:t xml:space="preserve"> debe concebir al estudiante como una personalidad plena</w:t>
      </w:r>
      <w:r>
        <w:rPr>
          <w:rFonts w:cs="Geneva"/>
          <w:color w:val="232323"/>
          <w:szCs w:val="26"/>
          <w:lang w:eastAsia="es-ES_tradnl"/>
        </w:rPr>
        <w:t>,</w:t>
      </w:r>
      <w:r w:rsidRPr="006B4DB3">
        <w:rPr>
          <w:rFonts w:cs="Geneva"/>
          <w:color w:val="232323"/>
          <w:szCs w:val="26"/>
          <w:lang w:eastAsia="es-ES_tradnl"/>
        </w:rPr>
        <w:t xml:space="preserve"> que con </w:t>
      </w:r>
      <w:r>
        <w:rPr>
          <w:rFonts w:cs="Geneva"/>
          <w:color w:val="232323"/>
          <w:szCs w:val="26"/>
          <w:lang w:eastAsia="es-ES_tradnl"/>
        </w:rPr>
        <w:t xml:space="preserve">la </w:t>
      </w:r>
      <w:r w:rsidRPr="006B4DB3">
        <w:rPr>
          <w:rFonts w:cs="Geneva"/>
          <w:color w:val="232323"/>
          <w:szCs w:val="26"/>
          <w:lang w:eastAsia="es-ES_tradnl"/>
        </w:rPr>
        <w:t xml:space="preserve">ayuda </w:t>
      </w:r>
      <w:r>
        <w:rPr>
          <w:rFonts w:cs="Geneva"/>
          <w:color w:val="232323"/>
          <w:szCs w:val="26"/>
          <w:lang w:eastAsia="es-ES_tradnl"/>
        </w:rPr>
        <w:t xml:space="preserve">del profesor, </w:t>
      </w:r>
      <w:r w:rsidRPr="006B4DB3">
        <w:rPr>
          <w:rFonts w:cs="Geneva"/>
          <w:color w:val="232323"/>
          <w:szCs w:val="26"/>
          <w:lang w:eastAsia="es-ES_tradnl"/>
        </w:rPr>
        <w:t>construye y reconstruye sus conocimientos, habilidades, hábitos, afectos, actitudes,</w:t>
      </w:r>
      <w:r>
        <w:rPr>
          <w:rFonts w:cs="Geneva"/>
          <w:color w:val="232323"/>
          <w:szCs w:val="26"/>
          <w:lang w:eastAsia="es-ES_tradnl"/>
        </w:rPr>
        <w:t xml:space="preserve"> formas de comportamiento y </w:t>
      </w:r>
      <w:r w:rsidRPr="006B4DB3">
        <w:rPr>
          <w:rFonts w:cs="Geneva"/>
          <w:color w:val="232323"/>
          <w:szCs w:val="26"/>
          <w:lang w:eastAsia="es-ES_tradnl"/>
        </w:rPr>
        <w:t xml:space="preserve">valores, en </w:t>
      </w:r>
      <w:r>
        <w:rPr>
          <w:rFonts w:cs="Geneva"/>
          <w:color w:val="232323"/>
          <w:szCs w:val="26"/>
          <w:lang w:eastAsia="es-ES_tradnl"/>
        </w:rPr>
        <w:t xml:space="preserve">una </w:t>
      </w:r>
      <w:r w:rsidRPr="006B4DB3">
        <w:rPr>
          <w:rFonts w:cs="Geneva"/>
          <w:color w:val="232323"/>
          <w:szCs w:val="26"/>
          <w:lang w:eastAsia="es-ES_tradnl"/>
        </w:rPr>
        <w:t>constante interacción con el medio soci</w:t>
      </w:r>
      <w:r>
        <w:rPr>
          <w:rFonts w:cs="Geneva"/>
          <w:color w:val="232323"/>
          <w:szCs w:val="26"/>
          <w:lang w:eastAsia="es-ES_tradnl"/>
        </w:rPr>
        <w:t xml:space="preserve">o cultural en el que se desenvuelve. </w:t>
      </w:r>
    </w:p>
    <w:p w:rsidR="00AD578C" w:rsidRPr="0018531C" w:rsidRDefault="00AD578C" w:rsidP="00AD578C">
      <w:pPr>
        <w:widowControl w:val="0"/>
        <w:autoSpaceDE w:val="0"/>
        <w:autoSpaceDN w:val="0"/>
        <w:adjustRightInd w:val="0"/>
        <w:jc w:val="both"/>
        <w:rPr>
          <w:rFonts w:cs="Arial"/>
          <w:szCs w:val="20"/>
          <w:lang w:eastAsia="es-ES_tradnl"/>
        </w:rPr>
      </w:pPr>
    </w:p>
    <w:p w:rsidR="00AD578C" w:rsidRPr="0018531C" w:rsidRDefault="00AD578C" w:rsidP="00AD578C">
      <w:pPr>
        <w:widowControl w:val="0"/>
        <w:autoSpaceDE w:val="0"/>
        <w:autoSpaceDN w:val="0"/>
        <w:adjustRightInd w:val="0"/>
        <w:jc w:val="both"/>
        <w:rPr>
          <w:rFonts w:cs="Geneva"/>
          <w:color w:val="232323"/>
          <w:szCs w:val="26"/>
          <w:lang w:eastAsia="es-ES_tradnl"/>
        </w:rPr>
      </w:pPr>
      <w:r w:rsidRPr="0018531C">
        <w:rPr>
          <w:rFonts w:cs="Microsoft Sans Serif"/>
          <w:color w:val="232323"/>
          <w:szCs w:val="26"/>
          <w:lang w:eastAsia="es-ES_tradnl"/>
        </w:rPr>
        <w:t>﻿</w:t>
      </w:r>
      <w:r w:rsidRPr="0018531C">
        <w:rPr>
          <w:rFonts w:cs="Geneva"/>
          <w:color w:val="232323"/>
          <w:szCs w:val="26"/>
          <w:lang w:eastAsia="es-ES_tradnl"/>
        </w:rPr>
        <w:t xml:space="preserve">             Los motivos</w:t>
      </w:r>
      <w:r>
        <w:rPr>
          <w:rFonts w:cs="Geneva"/>
          <w:color w:val="232323"/>
          <w:szCs w:val="26"/>
          <w:lang w:eastAsia="es-ES_tradnl"/>
        </w:rPr>
        <w:t>, entonces, que movilizan</w:t>
      </w:r>
      <w:r w:rsidRPr="0018531C">
        <w:rPr>
          <w:rFonts w:cs="Geneva"/>
          <w:color w:val="232323"/>
          <w:szCs w:val="26"/>
          <w:lang w:eastAsia="es-ES_tradnl"/>
        </w:rPr>
        <w:t xml:space="preserve"> al profesor a desarrollar su actividad pueden elevar la efectividad del proce</w:t>
      </w:r>
      <w:r>
        <w:rPr>
          <w:rFonts w:cs="Geneva"/>
          <w:color w:val="232323"/>
          <w:szCs w:val="26"/>
          <w:lang w:eastAsia="es-ES_tradnl"/>
        </w:rPr>
        <w:t xml:space="preserve">so de enseñanza aprendizaje, </w:t>
      </w:r>
      <w:r w:rsidRPr="0018531C">
        <w:rPr>
          <w:rFonts w:cs="Geneva"/>
          <w:color w:val="232323"/>
          <w:szCs w:val="26"/>
          <w:lang w:eastAsia="es-ES_tradnl"/>
        </w:rPr>
        <w:t xml:space="preserve">motivar a sus alumnos por el aprendizaje </w:t>
      </w:r>
      <w:r>
        <w:rPr>
          <w:rFonts w:cs="Geneva"/>
          <w:color w:val="232323"/>
          <w:szCs w:val="26"/>
          <w:lang w:eastAsia="es-ES_tradnl"/>
        </w:rPr>
        <w:t xml:space="preserve">del contenido o disciplina que imparte y, al unísono, </w:t>
      </w:r>
      <w:r w:rsidRPr="0018531C">
        <w:rPr>
          <w:rFonts w:cs="Geneva"/>
          <w:color w:val="232323"/>
          <w:szCs w:val="26"/>
          <w:lang w:eastAsia="es-ES_tradnl"/>
        </w:rPr>
        <w:t>contribuir al crecimiento personal de cada uno de ellos.</w:t>
      </w:r>
    </w:p>
    <w:p w:rsidR="00AD578C" w:rsidRPr="0018531C" w:rsidRDefault="00AD578C" w:rsidP="00AD578C">
      <w:pPr>
        <w:widowControl w:val="0"/>
        <w:autoSpaceDE w:val="0"/>
        <w:autoSpaceDN w:val="0"/>
        <w:adjustRightInd w:val="0"/>
        <w:jc w:val="both"/>
        <w:rPr>
          <w:rFonts w:cs="Geneva"/>
          <w:color w:val="232323"/>
          <w:szCs w:val="26"/>
          <w:lang w:eastAsia="es-ES_tradnl"/>
        </w:rPr>
      </w:pPr>
      <w:r>
        <w:rPr>
          <w:rFonts w:cs="Geneva"/>
          <w:color w:val="232323"/>
          <w:szCs w:val="26"/>
          <w:lang w:eastAsia="es-ES_tradnl"/>
        </w:rPr>
        <w:tab/>
      </w:r>
    </w:p>
    <w:p w:rsidR="00AD578C" w:rsidRDefault="00AD578C" w:rsidP="00AD578C">
      <w:pPr>
        <w:ind w:firstLine="708"/>
        <w:jc w:val="both"/>
        <w:rPr>
          <w:rFonts w:cs="Geneva"/>
          <w:color w:val="232323"/>
          <w:szCs w:val="26"/>
          <w:lang w:eastAsia="es-ES_tradnl"/>
        </w:rPr>
      </w:pPr>
      <w:r w:rsidRPr="0018531C">
        <w:rPr>
          <w:rFonts w:cs="Geneva"/>
          <w:color w:val="232323"/>
          <w:szCs w:val="26"/>
          <w:lang w:eastAsia="es-ES_tradnl"/>
        </w:rPr>
        <w:t>Sin embargo, si los motivos son extrínsecos, con frecuencia el profesor limita su labor fundamentalmente a la simple transmisión de los contenidos de la materia, estableciendo el “facilismo pedagógico”. Las insuficiencias en la personalidad del estudiante en gran medida están condicionadas a dicho "facilismo pedagógico", que consiste en una disminución de las exigencias docentes, como la selección de tareas o ejercicios tipos que no requieren estrategias intelectuales complejas; dar al alumno facilidades adicionales excesivas para que apruebe las materias; la enseñanza que sólo persigue la reproducción de los contenidos por el alumno, que no le plantea situaciones que hagan necesaria su iniciativa y creatividad. Estas cuestiones alientan el facilismo en el aprendizaje, generando en el estudiante un rechazo hacia todo aquello que entraña dificultad y esfuerzo, por lo que a su vez atentan contra el desarrollo de sus cualidades volitivas y de valores, tales como el sentido de la responsabilidad, la perseverancia y la tenacidad ante las tareas (González</w:t>
      </w:r>
      <w:r>
        <w:rPr>
          <w:rFonts w:cs="Geneva"/>
          <w:color w:val="232323"/>
          <w:szCs w:val="26"/>
          <w:lang w:eastAsia="es-ES_tradnl"/>
        </w:rPr>
        <w:t xml:space="preserve"> O</w:t>
      </w:r>
      <w:r w:rsidRPr="0018531C">
        <w:rPr>
          <w:rFonts w:cs="Geneva"/>
          <w:color w:val="232323"/>
          <w:szCs w:val="26"/>
          <w:lang w:eastAsia="es-ES_tradnl"/>
        </w:rPr>
        <w:t>, 1995</w:t>
      </w:r>
      <w:r>
        <w:rPr>
          <w:rFonts w:cs="Geneva"/>
          <w:color w:val="232323"/>
          <w:szCs w:val="26"/>
          <w:lang w:eastAsia="es-ES_tradnl"/>
        </w:rPr>
        <w:t xml:space="preserve"> en: </w:t>
      </w:r>
      <w:r w:rsidRPr="0094047F">
        <w:rPr>
          <w:rFonts w:cs="Verdana"/>
          <w:szCs w:val="26"/>
          <w:lang w:eastAsia="es-ES_tradnl"/>
        </w:rPr>
        <w:t>“</w:t>
      </w:r>
      <w:r w:rsidRPr="0094047F">
        <w:rPr>
          <w:rFonts w:cs="Verdana"/>
          <w:i/>
          <w:iCs/>
          <w:szCs w:val="26"/>
          <w:lang w:eastAsia="es-ES_tradnl"/>
        </w:rPr>
        <w:t>Aprendizaje e Instrucción”,</w:t>
      </w:r>
      <w:r w:rsidRPr="0094047F">
        <w:rPr>
          <w:rFonts w:cs="Verdana"/>
          <w:szCs w:val="26"/>
          <w:lang w:eastAsia="es-ES_tradnl"/>
        </w:rPr>
        <w:t xml:space="preserve"> Centro de Estudios para el Perfeccionamiento de la Educación Superior, Ed. Universidad de la Habana, La Habana</w:t>
      </w:r>
      <w:r>
        <w:rPr>
          <w:rFonts w:cs="Geneva"/>
          <w:color w:val="232323"/>
          <w:szCs w:val="26"/>
          <w:lang w:eastAsia="es-ES_tradnl"/>
        </w:rPr>
        <w:t>)</w:t>
      </w:r>
    </w:p>
    <w:p w:rsidR="00AD578C" w:rsidRDefault="00AD578C" w:rsidP="00AD578C">
      <w:pPr>
        <w:jc w:val="both"/>
        <w:rPr>
          <w:rFonts w:cs="Geneva"/>
          <w:color w:val="232323"/>
          <w:szCs w:val="26"/>
          <w:lang w:eastAsia="es-ES_tradnl"/>
        </w:rPr>
      </w:pPr>
    </w:p>
    <w:p w:rsidR="00AD578C" w:rsidRPr="0094047F" w:rsidRDefault="00AD578C" w:rsidP="00AD578C">
      <w:pPr>
        <w:jc w:val="both"/>
        <w:rPr>
          <w:szCs w:val="20"/>
          <w:lang w:eastAsia="es-ES_tradnl"/>
        </w:rPr>
      </w:pPr>
      <w:r>
        <w:rPr>
          <w:rFonts w:cs="Geneva"/>
          <w:color w:val="232323"/>
          <w:szCs w:val="26"/>
          <w:lang w:eastAsia="es-ES_tradnl"/>
        </w:rPr>
        <w:t>(</w:t>
      </w:r>
      <w:r w:rsidRPr="00AA4A25">
        <w:rPr>
          <w:rFonts w:cs="Geneva"/>
          <w:color w:val="232323"/>
          <w:sz w:val="20"/>
          <w:szCs w:val="26"/>
          <w:lang w:eastAsia="es-ES_tradnl"/>
        </w:rPr>
        <w:t xml:space="preserve">Como parte de la reflexión ver video: “Nacidos para aprender”; página </w:t>
      </w:r>
      <w:proofErr w:type="spellStart"/>
      <w:r w:rsidRPr="00AA4A25">
        <w:rPr>
          <w:rFonts w:cs="Geneva"/>
          <w:color w:val="232323"/>
          <w:sz w:val="20"/>
          <w:szCs w:val="26"/>
          <w:lang w:eastAsia="es-ES_tradnl"/>
        </w:rPr>
        <w:t>web</w:t>
      </w:r>
      <w:proofErr w:type="spellEnd"/>
      <w:r w:rsidRPr="00AA4A25">
        <w:rPr>
          <w:rFonts w:cs="Geneva"/>
          <w:color w:val="232323"/>
          <w:sz w:val="20"/>
          <w:szCs w:val="26"/>
          <w:lang w:eastAsia="es-ES_tradnl"/>
        </w:rPr>
        <w:t xml:space="preserve">: Educar para transformar;  link: </w:t>
      </w:r>
      <w:hyperlink r:id="rId5" w:history="1">
        <w:r w:rsidRPr="00AA4A25">
          <w:rPr>
            <w:rStyle w:val="Hipervnculo"/>
            <w:rFonts w:cs="Geneva"/>
            <w:sz w:val="20"/>
            <w:szCs w:val="26"/>
            <w:lang w:eastAsia="es-ES_tradnl"/>
          </w:rPr>
          <w:t>h</w:t>
        </w:r>
        <w:r w:rsidRPr="00AA4A25">
          <w:rPr>
            <w:rStyle w:val="Hipervnculo"/>
            <w:rFonts w:cs="Geneva"/>
            <w:sz w:val="20"/>
            <w:szCs w:val="26"/>
            <w:lang w:eastAsia="es-ES_tradnl"/>
          </w:rPr>
          <w:t>t</w:t>
        </w:r>
        <w:r w:rsidRPr="00AA4A25">
          <w:rPr>
            <w:rStyle w:val="Hipervnculo"/>
            <w:rFonts w:cs="Geneva"/>
            <w:sz w:val="20"/>
            <w:szCs w:val="26"/>
            <w:lang w:eastAsia="es-ES_tradnl"/>
          </w:rPr>
          <w:t>tp://kazolas.wix.com/educaytransforma#!contenido-de-la-pagina/csgz</w:t>
        </w:r>
      </w:hyperlink>
      <w:r>
        <w:rPr>
          <w:rFonts w:cs="Geneva"/>
          <w:color w:val="232323"/>
          <w:szCs w:val="26"/>
          <w:lang w:eastAsia="es-ES_tradnl"/>
        </w:rPr>
        <w:t xml:space="preserve">) </w:t>
      </w:r>
    </w:p>
    <w:p w:rsidR="00AD578C" w:rsidRPr="0018531C" w:rsidRDefault="00AD578C" w:rsidP="00AD578C">
      <w:pPr>
        <w:widowControl w:val="0"/>
        <w:autoSpaceDE w:val="0"/>
        <w:autoSpaceDN w:val="0"/>
        <w:adjustRightInd w:val="0"/>
        <w:rPr>
          <w:rFonts w:cs="Arial"/>
          <w:szCs w:val="20"/>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r w:rsidRPr="0018531C">
        <w:rPr>
          <w:rFonts w:cs="Geneva"/>
          <w:color w:val="232323"/>
          <w:szCs w:val="26"/>
          <w:lang w:eastAsia="es-ES_tradnl"/>
        </w:rPr>
        <w:t>              Es por ello que los objetivos de la enseñanza deben estar en correspondencia con los objetivos de aprendizaje, es decir, con las finalidades que pretenden lograr los estudiantes; así como también con la demanda social. Constituyéndose en el elemento rector del proceso de enseñanza aprendizaje, cuando tanto los alumnos como los profesores los asumen concientemente como suyos.</w:t>
      </w:r>
      <w:r>
        <w:rPr>
          <w:rFonts w:cs="Geneva"/>
          <w:color w:val="232323"/>
          <w:szCs w:val="26"/>
          <w:lang w:eastAsia="es-ES_tradnl"/>
        </w:rPr>
        <w:t xml:space="preserve"> </w:t>
      </w: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pPr>
      <w:r w:rsidRPr="0046600B">
        <w:rPr>
          <w:rFonts w:cs="Geneva"/>
          <w:color w:val="232323"/>
          <w:szCs w:val="26"/>
          <w:lang w:eastAsia="es-ES_tradnl"/>
        </w:rPr>
        <w:tab/>
      </w:r>
      <w:r>
        <w:rPr>
          <w:rFonts w:cs="Geneva"/>
          <w:color w:val="232323"/>
          <w:szCs w:val="26"/>
          <w:lang w:eastAsia="es-ES_tradnl"/>
        </w:rPr>
        <w:t>Desde esa perspectiva</w:t>
      </w:r>
      <w:r w:rsidRPr="0046600B">
        <w:rPr>
          <w:rFonts w:cs="Geneva"/>
          <w:color w:val="232323"/>
          <w:szCs w:val="26"/>
          <w:lang w:eastAsia="es-ES_tradnl"/>
        </w:rPr>
        <w:t xml:space="preserve"> el guión que orienta la reflexión en este primer bloque va dando cuenta en </w:t>
      </w:r>
      <w:r>
        <w:rPr>
          <w:rFonts w:cs="Geneva"/>
          <w:color w:val="232323"/>
          <w:szCs w:val="26"/>
          <w:lang w:eastAsia="es-ES_tradnl"/>
        </w:rPr>
        <w:t xml:space="preserve">un </w:t>
      </w:r>
      <w:r w:rsidRPr="0046600B">
        <w:rPr>
          <w:rFonts w:cs="Geneva"/>
          <w:color w:val="232323"/>
          <w:szCs w:val="26"/>
          <w:lang w:eastAsia="es-ES_tradnl"/>
        </w:rPr>
        <w:t>principio del análisis y discusió</w:t>
      </w:r>
      <w:r>
        <w:rPr>
          <w:rFonts w:cs="Geneva"/>
          <w:color w:val="232323"/>
          <w:szCs w:val="26"/>
          <w:lang w:eastAsia="es-ES_tradnl"/>
        </w:rPr>
        <w:t>n respecto d</w:t>
      </w:r>
      <w:r w:rsidRPr="0046600B">
        <w:rPr>
          <w:rFonts w:cs="Geneva"/>
          <w:color w:val="232323"/>
          <w:szCs w:val="26"/>
          <w:lang w:eastAsia="es-ES_tradnl"/>
        </w:rPr>
        <w:t>e</w:t>
      </w:r>
      <w:r>
        <w:rPr>
          <w:rFonts w:cs="Geneva"/>
          <w:color w:val="232323"/>
          <w:szCs w:val="26"/>
          <w:lang w:eastAsia="es-ES_tradnl"/>
        </w:rPr>
        <w:t xml:space="preserve"> </w:t>
      </w:r>
      <w:r w:rsidRPr="0046600B">
        <w:rPr>
          <w:rFonts w:cs="Geneva"/>
          <w:color w:val="232323"/>
          <w:szCs w:val="26"/>
          <w:lang w:eastAsia="es-ES_tradnl"/>
        </w:rPr>
        <w:t>l</w:t>
      </w:r>
      <w:r>
        <w:rPr>
          <w:rFonts w:cs="Geneva"/>
          <w:color w:val="232323"/>
          <w:szCs w:val="26"/>
          <w:lang w:eastAsia="es-ES_tradnl"/>
        </w:rPr>
        <w:t>os roles que componen el</w:t>
      </w:r>
      <w:r w:rsidRPr="0046600B">
        <w:rPr>
          <w:rFonts w:cs="Geneva"/>
          <w:color w:val="232323"/>
          <w:szCs w:val="26"/>
          <w:lang w:eastAsia="es-ES_tradnl"/>
        </w:rPr>
        <w:t xml:space="preserve"> papel del profesor como facilitador del aprendizaje, como miembro de una organización, como orientador y gestor de la convivencia de un grupo y como tutor/profesor en el conocimiento del alumnado</w:t>
      </w:r>
      <w:r>
        <w:rPr>
          <w:rFonts w:cs="Geneva"/>
          <w:color w:val="232323"/>
          <w:szCs w:val="26"/>
          <w:lang w:eastAsia="es-ES_tradnl"/>
        </w:rPr>
        <w:t xml:space="preserve">; </w:t>
      </w:r>
      <w:r w:rsidRPr="0046600B">
        <w:rPr>
          <w:rFonts w:cs="Geneva"/>
          <w:color w:val="232323"/>
          <w:szCs w:val="26"/>
          <w:lang w:eastAsia="es-ES_tradnl"/>
        </w:rPr>
        <w:t xml:space="preserve"> y en un segundo momento </w:t>
      </w:r>
      <w:r>
        <w:rPr>
          <w:rFonts w:cs="Geneva"/>
          <w:color w:val="232323"/>
          <w:szCs w:val="26"/>
          <w:lang w:eastAsia="es-ES_tradnl"/>
        </w:rPr>
        <w:t xml:space="preserve">el análisis y discusión respecto </w:t>
      </w:r>
      <w:r w:rsidRPr="0046600B">
        <w:rPr>
          <w:rFonts w:cs="Geneva"/>
          <w:color w:val="232323"/>
          <w:szCs w:val="26"/>
          <w:lang w:eastAsia="es-ES_tradnl"/>
        </w:rPr>
        <w:t xml:space="preserve">del alumnado y los factores </w:t>
      </w:r>
      <w:proofErr w:type="spellStart"/>
      <w:r w:rsidRPr="0046600B">
        <w:rPr>
          <w:rFonts w:cs="Geneva"/>
          <w:color w:val="232323"/>
          <w:szCs w:val="26"/>
          <w:lang w:eastAsia="es-ES_tradnl"/>
        </w:rPr>
        <w:t>psicoeducativos</w:t>
      </w:r>
      <w:proofErr w:type="spellEnd"/>
      <w:r w:rsidRPr="0046600B">
        <w:rPr>
          <w:rFonts w:cs="Geneva"/>
          <w:color w:val="232323"/>
          <w:szCs w:val="26"/>
          <w:lang w:eastAsia="es-ES_tradnl"/>
        </w:rPr>
        <w:t xml:space="preserve"> y sociale</w:t>
      </w:r>
      <w:r>
        <w:rPr>
          <w:rFonts w:cs="Geneva"/>
          <w:color w:val="232323"/>
          <w:szCs w:val="26"/>
          <w:lang w:eastAsia="es-ES_tradnl"/>
        </w:rPr>
        <w:t>s que inciden en el aprendizaje como lo son el</w:t>
      </w:r>
      <w:r w:rsidRPr="0046600B">
        <w:rPr>
          <w:rFonts w:cs="Geneva"/>
          <w:color w:val="232323"/>
          <w:szCs w:val="26"/>
          <w:lang w:eastAsia="es-ES_tradnl"/>
        </w:rPr>
        <w:t xml:space="preserve"> </w:t>
      </w:r>
      <w:r w:rsidRPr="0046600B">
        <w:t xml:space="preserve">estilo de aprendizaje, </w:t>
      </w:r>
      <w:r>
        <w:t xml:space="preserve">la </w:t>
      </w:r>
      <w:r w:rsidRPr="0046600B">
        <w:t xml:space="preserve">competencia instrumental, </w:t>
      </w:r>
      <w:r>
        <w:t xml:space="preserve">los </w:t>
      </w:r>
      <w:r w:rsidRPr="0046600B">
        <w:t xml:space="preserve">conocimientos previos, </w:t>
      </w:r>
      <w:r>
        <w:t xml:space="preserve">las </w:t>
      </w:r>
      <w:r w:rsidRPr="0046600B">
        <w:t xml:space="preserve">estrategias de aprendizaje, </w:t>
      </w:r>
      <w:r>
        <w:t xml:space="preserve">la </w:t>
      </w:r>
      <w:r w:rsidRPr="0046600B">
        <w:t xml:space="preserve">motivación, </w:t>
      </w:r>
      <w:r>
        <w:t xml:space="preserve">el </w:t>
      </w:r>
      <w:r w:rsidRPr="0046600B">
        <w:t xml:space="preserve">autoconcepto, </w:t>
      </w:r>
      <w:r>
        <w:t xml:space="preserve">el </w:t>
      </w:r>
      <w:r w:rsidRPr="0046600B">
        <w:t xml:space="preserve">grupo clase, </w:t>
      </w:r>
      <w:r>
        <w:t xml:space="preserve">el </w:t>
      </w:r>
      <w:r w:rsidRPr="0046600B">
        <w:t>equilib</w:t>
      </w:r>
      <w:r>
        <w:t xml:space="preserve">rio personal, el entorno familiar y el </w:t>
      </w:r>
      <w:r w:rsidRPr="0046600B">
        <w:t>contexto social cercano.</w:t>
      </w:r>
    </w:p>
    <w:p w:rsidR="00AD578C" w:rsidRDefault="00AD578C" w:rsidP="00AD578C">
      <w:pPr>
        <w:widowControl w:val="0"/>
        <w:autoSpaceDE w:val="0"/>
        <w:autoSpaceDN w:val="0"/>
        <w:adjustRightInd w:val="0"/>
        <w:jc w:val="both"/>
      </w:pPr>
    </w:p>
    <w:p w:rsidR="00AD578C" w:rsidRPr="0046600B"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r>
        <w:rPr>
          <w:rFonts w:cs="Geneva"/>
          <w:color w:val="232323"/>
          <w:szCs w:val="26"/>
          <w:lang w:eastAsia="es-ES_tradnl"/>
        </w:rPr>
        <w:t>Bibliografía:</w:t>
      </w:r>
    </w:p>
    <w:p w:rsidR="00AD578C" w:rsidRDefault="00AD578C" w:rsidP="00AD578C">
      <w:pPr>
        <w:widowControl w:val="0"/>
        <w:autoSpaceDE w:val="0"/>
        <w:autoSpaceDN w:val="0"/>
        <w:adjustRightInd w:val="0"/>
        <w:jc w:val="both"/>
        <w:rPr>
          <w:rFonts w:cs="Geneva"/>
          <w:color w:val="232323"/>
          <w:szCs w:val="26"/>
          <w:lang w:eastAsia="es-ES_tradnl"/>
        </w:rPr>
      </w:pPr>
      <w:r>
        <w:rPr>
          <w:rFonts w:cs="Geneva"/>
          <w:color w:val="232323"/>
          <w:szCs w:val="26"/>
          <w:lang w:eastAsia="es-ES_tradnl"/>
        </w:rPr>
        <w:t xml:space="preserve"> </w:t>
      </w:r>
    </w:p>
    <w:p w:rsidR="00AD578C" w:rsidRPr="0094047F" w:rsidRDefault="00AD578C" w:rsidP="00AD578C">
      <w:pPr>
        <w:widowControl w:val="0"/>
        <w:numPr>
          <w:ilvl w:val="0"/>
          <w:numId w:val="2"/>
        </w:numPr>
        <w:autoSpaceDE w:val="0"/>
        <w:autoSpaceDN w:val="0"/>
        <w:adjustRightInd w:val="0"/>
        <w:jc w:val="both"/>
        <w:rPr>
          <w:rFonts w:cs="Verdana"/>
          <w:szCs w:val="26"/>
          <w:lang w:eastAsia="es-ES_tradnl"/>
        </w:rPr>
      </w:pPr>
      <w:proofErr w:type="spellStart"/>
      <w:r w:rsidRPr="0094047F">
        <w:rPr>
          <w:rFonts w:cs="Verdana"/>
          <w:szCs w:val="26"/>
          <w:lang w:eastAsia="es-ES_tradnl"/>
        </w:rPr>
        <w:t>Delors</w:t>
      </w:r>
      <w:proofErr w:type="spellEnd"/>
      <w:r w:rsidRPr="0094047F">
        <w:rPr>
          <w:rFonts w:cs="Verdana"/>
          <w:szCs w:val="26"/>
          <w:lang w:eastAsia="es-ES_tradnl"/>
        </w:rPr>
        <w:t>, J. (1997) “</w:t>
      </w:r>
      <w:r w:rsidRPr="0094047F">
        <w:rPr>
          <w:rFonts w:cs="Verdana"/>
          <w:i/>
          <w:iCs/>
          <w:szCs w:val="26"/>
          <w:lang w:eastAsia="es-ES_tradnl"/>
        </w:rPr>
        <w:t>La educación encierra un tesoro. Informe de la Comisión Internacional sobre la Educación para el siglo XXI”</w:t>
      </w:r>
      <w:r w:rsidRPr="0094047F">
        <w:rPr>
          <w:rFonts w:cs="Verdana"/>
          <w:szCs w:val="26"/>
          <w:lang w:eastAsia="es-ES_tradnl"/>
        </w:rPr>
        <w:t>. Ediciones UNESCO, impreso en México</w:t>
      </w:r>
    </w:p>
    <w:p w:rsidR="00AD578C" w:rsidRPr="0094047F" w:rsidRDefault="00AD578C" w:rsidP="00AD578C">
      <w:pPr>
        <w:widowControl w:val="0"/>
        <w:autoSpaceDE w:val="0"/>
        <w:autoSpaceDN w:val="0"/>
        <w:adjustRightInd w:val="0"/>
        <w:jc w:val="both"/>
        <w:rPr>
          <w:rFonts w:cs="Geneva"/>
          <w:szCs w:val="26"/>
          <w:lang w:eastAsia="es-ES_tradnl"/>
        </w:rPr>
      </w:pPr>
    </w:p>
    <w:p w:rsidR="00AD578C" w:rsidRPr="0094047F" w:rsidRDefault="00AD578C" w:rsidP="00AD578C">
      <w:pPr>
        <w:numPr>
          <w:ilvl w:val="0"/>
          <w:numId w:val="2"/>
        </w:numPr>
        <w:jc w:val="both"/>
        <w:rPr>
          <w:rFonts w:cs="Verdana"/>
          <w:szCs w:val="26"/>
          <w:lang w:eastAsia="es-ES_tradnl"/>
        </w:rPr>
      </w:pPr>
      <w:r w:rsidRPr="0094047F">
        <w:rPr>
          <w:rFonts w:cs="Verdana"/>
          <w:szCs w:val="26"/>
          <w:lang w:eastAsia="es-ES_tradnl"/>
        </w:rPr>
        <w:t>González, O. (1994) “</w:t>
      </w:r>
      <w:r w:rsidRPr="0094047F">
        <w:rPr>
          <w:rFonts w:cs="Verdana"/>
          <w:i/>
          <w:iCs/>
          <w:szCs w:val="26"/>
          <w:lang w:eastAsia="es-ES_tradnl"/>
        </w:rPr>
        <w:t>Didáctica Universitaria”</w:t>
      </w:r>
      <w:r w:rsidRPr="0094047F">
        <w:rPr>
          <w:rFonts w:cs="Verdana"/>
          <w:szCs w:val="26"/>
          <w:lang w:eastAsia="es-ES_tradnl"/>
        </w:rPr>
        <w:t>, Centro de Estudios para el Perfeccionamiento de la Educación Superior, Ed. Universidad de la Habana, La Habana.</w:t>
      </w:r>
    </w:p>
    <w:p w:rsidR="00AD578C" w:rsidRPr="0094047F" w:rsidRDefault="00AD578C" w:rsidP="00AD578C">
      <w:pPr>
        <w:jc w:val="both"/>
        <w:rPr>
          <w:szCs w:val="20"/>
          <w:lang w:eastAsia="es-ES_tradnl"/>
        </w:rPr>
      </w:pPr>
    </w:p>
    <w:p w:rsidR="00AD578C" w:rsidRPr="0094047F" w:rsidRDefault="00AD578C" w:rsidP="00AD578C">
      <w:pPr>
        <w:numPr>
          <w:ilvl w:val="0"/>
          <w:numId w:val="2"/>
        </w:numPr>
        <w:jc w:val="both"/>
        <w:rPr>
          <w:szCs w:val="20"/>
          <w:lang w:eastAsia="es-ES_tradnl"/>
        </w:rPr>
      </w:pPr>
      <w:r w:rsidRPr="0094047F">
        <w:rPr>
          <w:rFonts w:cs="Verdana"/>
          <w:szCs w:val="26"/>
          <w:lang w:eastAsia="es-ES_tradnl"/>
        </w:rPr>
        <w:t>González, O. (1995) “</w:t>
      </w:r>
      <w:r w:rsidRPr="0094047F">
        <w:rPr>
          <w:rFonts w:cs="Verdana"/>
          <w:i/>
          <w:iCs/>
          <w:szCs w:val="26"/>
          <w:lang w:eastAsia="es-ES_tradnl"/>
        </w:rPr>
        <w:t>Aprendizaje e Instrucción”,</w:t>
      </w:r>
      <w:r w:rsidRPr="0094047F">
        <w:rPr>
          <w:rFonts w:cs="Verdana"/>
          <w:szCs w:val="26"/>
          <w:lang w:eastAsia="es-ES_tradnl"/>
        </w:rPr>
        <w:t xml:space="preserve"> Centro de Estudios para el Perfeccionamiento de la Educación Superior, Ed. Universidad de la Habana, La Habana.</w:t>
      </w: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rPr>
          <w:rFonts w:cs="Geneva"/>
          <w:color w:val="232323"/>
          <w:szCs w:val="26"/>
          <w:lang w:eastAsia="es-ES_tradnl"/>
        </w:rPr>
      </w:pPr>
    </w:p>
    <w:p w:rsidR="00AD578C" w:rsidRDefault="00AD578C" w:rsidP="00AD578C">
      <w:pPr>
        <w:widowControl w:val="0"/>
        <w:autoSpaceDE w:val="0"/>
        <w:autoSpaceDN w:val="0"/>
        <w:adjustRightInd w:val="0"/>
        <w:rPr>
          <w:rFonts w:cs="Geneva"/>
          <w:color w:val="232323"/>
          <w:szCs w:val="26"/>
          <w:lang w:eastAsia="es-ES_tradnl"/>
        </w:rPr>
      </w:pPr>
    </w:p>
    <w:p w:rsidR="00AD578C" w:rsidRDefault="00AD578C" w:rsidP="00AD578C">
      <w:pPr>
        <w:widowControl w:val="0"/>
        <w:autoSpaceDE w:val="0"/>
        <w:autoSpaceDN w:val="0"/>
        <w:adjustRightInd w:val="0"/>
        <w:rPr>
          <w:rFonts w:cs="Geneva"/>
          <w:color w:val="232323"/>
          <w:szCs w:val="26"/>
          <w:lang w:eastAsia="es-ES_tradnl"/>
        </w:rPr>
      </w:pPr>
    </w:p>
    <w:p w:rsidR="00AD578C" w:rsidRDefault="00AD578C" w:rsidP="00AD578C">
      <w:pPr>
        <w:widowControl w:val="0"/>
        <w:autoSpaceDE w:val="0"/>
        <w:autoSpaceDN w:val="0"/>
        <w:adjustRightInd w:val="0"/>
        <w:rPr>
          <w:rFonts w:cs="Geneva"/>
          <w:color w:val="232323"/>
          <w:szCs w:val="26"/>
          <w:lang w:eastAsia="es-ES_tradnl"/>
        </w:rPr>
      </w:pPr>
    </w:p>
    <w:p w:rsidR="00AD578C" w:rsidRDefault="00AD578C" w:rsidP="00AD578C">
      <w:pPr>
        <w:widowControl w:val="0"/>
        <w:autoSpaceDE w:val="0"/>
        <w:autoSpaceDN w:val="0"/>
        <w:adjustRightInd w:val="0"/>
        <w:rPr>
          <w:rFonts w:cs="Geneva"/>
          <w:color w:val="232323"/>
          <w:szCs w:val="26"/>
          <w:lang w:eastAsia="es-ES_tradnl"/>
        </w:rPr>
      </w:pPr>
    </w:p>
    <w:p w:rsidR="00AD578C" w:rsidRDefault="00AD578C" w:rsidP="00AD578C">
      <w:pPr>
        <w:widowControl w:val="0"/>
        <w:autoSpaceDE w:val="0"/>
        <w:autoSpaceDN w:val="0"/>
        <w:adjustRightInd w:val="0"/>
        <w:rPr>
          <w:rFonts w:cs="Geneva"/>
          <w:color w:val="232323"/>
          <w:szCs w:val="26"/>
          <w:lang w:eastAsia="es-ES_tradnl"/>
        </w:rPr>
      </w:pPr>
    </w:p>
    <w:p w:rsidR="00AD578C" w:rsidRDefault="00AD578C" w:rsidP="00AD578C">
      <w:pPr>
        <w:widowControl w:val="0"/>
        <w:autoSpaceDE w:val="0"/>
        <w:autoSpaceDN w:val="0"/>
        <w:adjustRightInd w:val="0"/>
        <w:rPr>
          <w:rFonts w:cs="Geneva"/>
          <w:color w:val="232323"/>
          <w:szCs w:val="26"/>
          <w:lang w:eastAsia="es-ES_tradnl"/>
        </w:rPr>
      </w:pPr>
    </w:p>
    <w:p w:rsidR="00AD578C" w:rsidRDefault="00AD578C" w:rsidP="00AD578C">
      <w:pPr>
        <w:widowControl w:val="0"/>
        <w:autoSpaceDE w:val="0"/>
        <w:autoSpaceDN w:val="0"/>
        <w:adjustRightInd w:val="0"/>
        <w:rPr>
          <w:rFonts w:cs="Geneva"/>
          <w:color w:val="232323"/>
          <w:szCs w:val="26"/>
          <w:lang w:eastAsia="es-ES_tradnl"/>
        </w:rPr>
      </w:pPr>
    </w:p>
    <w:p w:rsidR="00AD578C" w:rsidRPr="0094047F" w:rsidRDefault="00AD578C" w:rsidP="00AD578C">
      <w:pPr>
        <w:widowControl w:val="0"/>
        <w:autoSpaceDE w:val="0"/>
        <w:autoSpaceDN w:val="0"/>
        <w:adjustRightInd w:val="0"/>
        <w:rPr>
          <w:rFonts w:cs="Geneva"/>
          <w:b/>
          <w:i/>
          <w:color w:val="232323"/>
          <w:szCs w:val="26"/>
          <w:lang w:eastAsia="es-ES_tradnl"/>
        </w:rPr>
      </w:pPr>
      <w:r>
        <w:rPr>
          <w:rFonts w:cs="Geneva"/>
          <w:b/>
          <w:i/>
          <w:color w:val="232323"/>
          <w:szCs w:val="26"/>
          <w:lang w:eastAsia="es-ES_tradnl"/>
        </w:rPr>
        <w:t xml:space="preserve">1.1 </w:t>
      </w:r>
      <w:r w:rsidRPr="0094047F">
        <w:rPr>
          <w:rFonts w:cs="Geneva"/>
          <w:b/>
          <w:i/>
          <w:color w:val="232323"/>
          <w:szCs w:val="26"/>
          <w:lang w:eastAsia="es-ES_tradnl"/>
        </w:rPr>
        <w:t>El profesor como gestor</w:t>
      </w:r>
    </w:p>
    <w:p w:rsidR="00AD578C" w:rsidRDefault="00AD578C" w:rsidP="00AD578C">
      <w:pPr>
        <w:widowControl w:val="0"/>
        <w:autoSpaceDE w:val="0"/>
        <w:autoSpaceDN w:val="0"/>
        <w:adjustRightInd w:val="0"/>
        <w:jc w:val="center"/>
        <w:rPr>
          <w:rFonts w:cs="Geneva"/>
          <w:color w:val="232323"/>
          <w:sz w:val="28"/>
          <w:szCs w:val="26"/>
          <w:lang w:eastAsia="es-ES_tradnl"/>
        </w:rPr>
      </w:pPr>
    </w:p>
    <w:p w:rsidR="00AD578C" w:rsidRPr="00A546DE" w:rsidRDefault="00AD578C" w:rsidP="00AD578C">
      <w:pPr>
        <w:widowControl w:val="0"/>
        <w:autoSpaceDE w:val="0"/>
        <w:autoSpaceDN w:val="0"/>
        <w:adjustRightInd w:val="0"/>
        <w:ind w:firstLine="708"/>
        <w:jc w:val="both"/>
        <w:rPr>
          <w:rFonts w:cs="Geneva"/>
          <w:color w:val="232323"/>
          <w:szCs w:val="26"/>
          <w:lang w:eastAsia="es-ES_tradnl"/>
        </w:rPr>
      </w:pPr>
      <w:r w:rsidRPr="00A546DE">
        <w:rPr>
          <w:rFonts w:cs="Geneva"/>
          <w:color w:val="232323"/>
          <w:szCs w:val="26"/>
          <w:lang w:eastAsia="es-ES_tradnl"/>
        </w:rPr>
        <w:t>El sentido y función del papel del profesor dentro de una</w:t>
      </w:r>
      <w:r w:rsidRPr="00A546DE">
        <w:rPr>
          <w:rFonts w:cs="Geneva"/>
          <w:color w:val="232323"/>
          <w:szCs w:val="26"/>
          <w:lang w:eastAsia="es-ES_tradnl"/>
        </w:rPr>
        <w:br/>
        <w:t xml:space="preserve">organización educativa es apuntar a desarrollar una educación de calidad para todos los alumnos, cuya meta es la formación de ciudadanos críticos y transformadores dentro de un proyecto social y cultural que implique la presencia y desarrollo de escuelas democráticas que involucran un cambio en la concepción de poder y que plantean la abierta necesidad  de trabajar bajo una perspectiva constructivista. </w:t>
      </w:r>
    </w:p>
    <w:p w:rsidR="00AD578C" w:rsidRPr="00A546DE" w:rsidRDefault="00AD578C" w:rsidP="00AD578C">
      <w:pPr>
        <w:widowControl w:val="0"/>
        <w:autoSpaceDE w:val="0"/>
        <w:autoSpaceDN w:val="0"/>
        <w:adjustRightInd w:val="0"/>
        <w:ind w:firstLine="708"/>
        <w:jc w:val="both"/>
        <w:rPr>
          <w:rFonts w:cs="Geneva"/>
          <w:color w:val="232323"/>
          <w:szCs w:val="26"/>
          <w:lang w:eastAsia="es-ES_tradnl"/>
        </w:rPr>
      </w:pPr>
    </w:p>
    <w:p w:rsidR="00AD578C" w:rsidRPr="00A546DE" w:rsidRDefault="00AD578C" w:rsidP="00AD578C">
      <w:pPr>
        <w:widowControl w:val="0"/>
        <w:autoSpaceDE w:val="0"/>
        <w:autoSpaceDN w:val="0"/>
        <w:adjustRightInd w:val="0"/>
        <w:ind w:firstLine="708"/>
        <w:jc w:val="both"/>
        <w:rPr>
          <w:rFonts w:cs="Geneva"/>
          <w:color w:val="232323"/>
          <w:szCs w:val="26"/>
          <w:lang w:eastAsia="es-ES_tradnl"/>
        </w:rPr>
      </w:pPr>
      <w:r w:rsidRPr="00A546DE">
        <w:rPr>
          <w:rFonts w:cs="Geneva"/>
          <w:color w:val="232323"/>
          <w:szCs w:val="26"/>
          <w:lang w:eastAsia="es-ES_tradnl"/>
        </w:rPr>
        <w:t xml:space="preserve">Lo antes descrito necesariamente requiere de instalar el rol del docente, en una primera instancia, como un facilitador de cambios en el contexto educativo. Bajo esta lógica el docente debe irse construyendo en y a partir del contexto, constituyéndose en el arquitecto y ejecutor de este proceso social e individual de cambio.  </w:t>
      </w:r>
    </w:p>
    <w:p w:rsidR="00AD578C" w:rsidRPr="00A546DE" w:rsidRDefault="00AD578C" w:rsidP="00AD578C">
      <w:pPr>
        <w:widowControl w:val="0"/>
        <w:autoSpaceDE w:val="0"/>
        <w:autoSpaceDN w:val="0"/>
        <w:adjustRightInd w:val="0"/>
        <w:ind w:firstLine="708"/>
        <w:jc w:val="both"/>
        <w:rPr>
          <w:rFonts w:cs="Geneva"/>
          <w:color w:val="232323"/>
          <w:szCs w:val="26"/>
          <w:lang w:eastAsia="es-ES_tradnl"/>
        </w:rPr>
      </w:pPr>
    </w:p>
    <w:p w:rsidR="00AD578C" w:rsidRDefault="00AD578C" w:rsidP="00AD578C">
      <w:pPr>
        <w:widowControl w:val="0"/>
        <w:autoSpaceDE w:val="0"/>
        <w:autoSpaceDN w:val="0"/>
        <w:adjustRightInd w:val="0"/>
        <w:ind w:firstLine="708"/>
        <w:jc w:val="both"/>
        <w:rPr>
          <w:rFonts w:cs="Arial"/>
          <w:szCs w:val="26"/>
          <w:lang w:eastAsia="es-ES_tradnl"/>
        </w:rPr>
      </w:pPr>
      <w:r w:rsidRPr="00A546DE">
        <w:rPr>
          <w:rFonts w:cs="Geneva"/>
          <w:color w:val="232323"/>
          <w:szCs w:val="26"/>
          <w:lang w:eastAsia="es-ES_tradnl"/>
        </w:rPr>
        <w:t xml:space="preserve">Se debe considerar como un gestor de procesos de aprendizaje interactivos, cuyo fin es la construcción del conocimiento. Y a partir de ello debe convertirse en un guía, en un orientador, desarrollando la capacidad de ampliar la información, contextualizarla, vincularla y aplicarla a la realidad o el entorno social, político, económico, cultural y actitudinal en el que se desarrolla y como consecuencia de ello requiere de una </w:t>
      </w:r>
      <w:r>
        <w:rPr>
          <w:rFonts w:cs="Arial"/>
          <w:szCs w:val="26"/>
          <w:lang w:eastAsia="es-ES_tradnl"/>
        </w:rPr>
        <w:t>constante actualización, requiere del conocimiento especializado.</w:t>
      </w:r>
    </w:p>
    <w:p w:rsidR="00AD578C" w:rsidRDefault="00AD578C" w:rsidP="00AD578C">
      <w:pPr>
        <w:widowControl w:val="0"/>
        <w:autoSpaceDE w:val="0"/>
        <w:autoSpaceDN w:val="0"/>
        <w:adjustRightInd w:val="0"/>
        <w:ind w:firstLine="708"/>
        <w:jc w:val="both"/>
        <w:rPr>
          <w:rFonts w:cs="Arial"/>
          <w:szCs w:val="26"/>
          <w:lang w:eastAsia="es-ES_tradnl"/>
        </w:rPr>
      </w:pPr>
    </w:p>
    <w:p w:rsidR="00AD578C" w:rsidRDefault="00AD578C" w:rsidP="00AD578C">
      <w:pPr>
        <w:widowControl w:val="0"/>
        <w:autoSpaceDE w:val="0"/>
        <w:autoSpaceDN w:val="0"/>
        <w:adjustRightInd w:val="0"/>
        <w:ind w:firstLine="708"/>
        <w:jc w:val="both"/>
        <w:rPr>
          <w:rFonts w:cs="Arial"/>
          <w:szCs w:val="26"/>
          <w:lang w:eastAsia="es-ES_tradnl"/>
        </w:rPr>
      </w:pPr>
    </w:p>
    <w:p w:rsidR="00AD578C" w:rsidRPr="00A546DE" w:rsidRDefault="00AD578C" w:rsidP="00AD578C">
      <w:pPr>
        <w:widowControl w:val="0"/>
        <w:autoSpaceDE w:val="0"/>
        <w:autoSpaceDN w:val="0"/>
        <w:adjustRightInd w:val="0"/>
        <w:ind w:firstLine="708"/>
        <w:jc w:val="both"/>
        <w:rPr>
          <w:rFonts w:cs="Arial"/>
          <w:szCs w:val="26"/>
          <w:lang w:eastAsia="es-ES_tradnl"/>
        </w:rPr>
      </w:pPr>
      <w:r>
        <w:rPr>
          <w:rFonts w:cs="Arial"/>
          <w:noProof/>
          <w:szCs w:val="26"/>
          <w:lang w:eastAsia="es-ES_tradnl"/>
        </w:rPr>
        <w:drawing>
          <wp:inline distT="0" distB="0" distL="0" distR="0">
            <wp:extent cx="4813300" cy="2950210"/>
            <wp:effectExtent l="0" t="0" r="0" b="0"/>
            <wp:docPr id="1" name="O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41509" cy="5153489"/>
                      <a:chOff x="234683" y="1560049"/>
                      <a:chExt cx="8241509" cy="5153489"/>
                    </a:xfrm>
                  </a:grpSpPr>
                  <a:sp>
                    <a:nvSpPr>
                      <a:cNvPr id="4" name="Rectángulo redondeado 3"/>
                      <a:cNvSpPr/>
                    </a:nvSpPr>
                    <a:spPr>
                      <a:xfrm>
                        <a:off x="234683" y="2802565"/>
                        <a:ext cx="2636732" cy="1058210"/>
                      </a:xfrm>
                      <a:prstGeom prst="roundRect">
                        <a:avLst/>
                      </a:prstGeom>
                    </a:spPr>
                    <a:txSp>
                      <a:txBody>
                        <a:bodyPr anchor="ctr"/>
                        <a:lstStyle>
                          <a:defPPr>
                            <a:defRPr lang="es-ES_tradnl"/>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s-ES_tradnl" sz="2400" dirty="0">
                              <a:solidFill>
                                <a:schemeClr val="tx1"/>
                              </a:solidFill>
                            </a:rPr>
                            <a:t>Conocimiento Especializado</a:t>
                          </a:r>
                        </a:p>
                      </a:txBody>
                      <a:useSpRect/>
                    </a:txSp>
                    <a:style>
                      <a:lnRef idx="0">
                        <a:schemeClr val="accent6"/>
                      </a:lnRef>
                      <a:fillRef idx="3">
                        <a:schemeClr val="accent6"/>
                      </a:fillRef>
                      <a:effectRef idx="3">
                        <a:schemeClr val="accent6"/>
                      </a:effectRef>
                      <a:fontRef idx="minor">
                        <a:schemeClr val="lt1"/>
                      </a:fontRef>
                    </a:style>
                  </a:sp>
                  <a:cxnSp>
                    <a:nvCxnSpPr>
                      <a:cNvPr id="6" name="Conector recto de flecha 5"/>
                      <a:cNvCxnSpPr/>
                    </a:nvCxnSpPr>
                    <a:spPr>
                      <a:xfrm flipV="1">
                        <a:off x="2871788" y="2251075"/>
                        <a:ext cx="1587500" cy="744538"/>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8" name="Conector recto de flecha 7"/>
                      <a:cNvCxnSpPr>
                        <a:stCxn id="0" idx="3"/>
                      </a:cNvCxnSpPr>
                    </a:nvCxnSpPr>
                    <a:spPr>
                      <a:xfrm flipV="1">
                        <a:off x="2871788" y="3313113"/>
                        <a:ext cx="1587500" cy="19050"/>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10" name="Conector recto de flecha 9"/>
                      <a:cNvCxnSpPr/>
                    </a:nvCxnSpPr>
                    <a:spPr>
                      <a:xfrm>
                        <a:off x="2871788" y="3695700"/>
                        <a:ext cx="1587500" cy="846138"/>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sp>
                    <a:nvSpPr>
                      <a:cNvPr id="11" name="Rectángulo redondeado 10"/>
                      <a:cNvSpPr/>
                    </a:nvSpPr>
                    <a:spPr>
                      <a:xfrm>
                        <a:off x="4458973" y="1744355"/>
                        <a:ext cx="2636732" cy="1058210"/>
                      </a:xfrm>
                      <a:prstGeom prst="roundRect">
                        <a:avLst/>
                      </a:prstGeom>
                    </a:spPr>
                    <a:txSp>
                      <a:txBody>
                        <a:bodyPr anchor="ctr"/>
                        <a:lstStyle>
                          <a:defPPr>
                            <a:defRPr lang="es-ES_tradnl"/>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s-ES_tradnl" sz="2400" dirty="0">
                              <a:solidFill>
                                <a:schemeClr val="tx1"/>
                              </a:solidFill>
                            </a:rPr>
                            <a:t>Sobre técnicas y procedimientos</a:t>
                          </a:r>
                        </a:p>
                      </a:txBody>
                      <a:useSpRect/>
                    </a:txSp>
                    <a:style>
                      <a:lnRef idx="0">
                        <a:schemeClr val="accent6"/>
                      </a:lnRef>
                      <a:fillRef idx="3">
                        <a:schemeClr val="accent6"/>
                      </a:fillRef>
                      <a:effectRef idx="3">
                        <a:schemeClr val="accent6"/>
                      </a:effectRef>
                      <a:fontRef idx="minor">
                        <a:schemeClr val="lt1"/>
                      </a:fontRef>
                    </a:style>
                  </a:sp>
                  <a:sp>
                    <a:nvSpPr>
                      <a:cNvPr id="12" name="Rectángulo redondeado 11"/>
                      <a:cNvSpPr/>
                    </a:nvSpPr>
                    <a:spPr>
                      <a:xfrm>
                        <a:off x="4458973" y="2954965"/>
                        <a:ext cx="2636732" cy="1058210"/>
                      </a:xfrm>
                      <a:prstGeom prst="roundRect">
                        <a:avLst/>
                      </a:prstGeom>
                    </a:spPr>
                    <a:txSp>
                      <a:txBody>
                        <a:bodyPr anchor="ctr"/>
                        <a:lstStyle>
                          <a:defPPr>
                            <a:defRPr lang="es-ES_tradnl"/>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s-ES_tradnl" sz="2400" dirty="0">
                              <a:solidFill>
                                <a:schemeClr val="tx1"/>
                              </a:solidFill>
                            </a:rPr>
                            <a:t>Sobre aspectos ideológicos</a:t>
                          </a:r>
                        </a:p>
                      </a:txBody>
                      <a:useSpRect/>
                    </a:txSp>
                    <a:style>
                      <a:lnRef idx="0">
                        <a:schemeClr val="accent6"/>
                      </a:lnRef>
                      <a:fillRef idx="3">
                        <a:schemeClr val="accent6"/>
                      </a:fillRef>
                      <a:effectRef idx="3">
                        <a:schemeClr val="accent6"/>
                      </a:effectRef>
                      <a:fontRef idx="minor">
                        <a:schemeClr val="lt1"/>
                      </a:fontRef>
                    </a:style>
                  </a:sp>
                  <a:sp>
                    <a:nvSpPr>
                      <a:cNvPr id="13" name="Rectángulo redondeado 12"/>
                      <a:cNvSpPr/>
                    </a:nvSpPr>
                    <a:spPr>
                      <a:xfrm>
                        <a:off x="4458973" y="4307926"/>
                        <a:ext cx="2636732" cy="1058210"/>
                      </a:xfrm>
                      <a:prstGeom prst="roundRect">
                        <a:avLst/>
                      </a:prstGeom>
                    </a:spPr>
                    <a:txSp>
                      <a:txBody>
                        <a:bodyPr anchor="ctr"/>
                        <a:lstStyle>
                          <a:defPPr>
                            <a:defRPr lang="es-ES_tradnl"/>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s-ES_tradnl" sz="2400" dirty="0">
                              <a:solidFill>
                                <a:schemeClr val="tx1"/>
                              </a:solidFill>
                            </a:rPr>
                            <a:t>Sobre aspectos filosóficos</a:t>
                          </a:r>
                        </a:p>
                      </a:txBody>
                      <a:useSpRect/>
                    </a:txSp>
                    <a:style>
                      <a:lnRef idx="0">
                        <a:schemeClr val="accent6"/>
                      </a:lnRef>
                      <a:fillRef idx="3">
                        <a:schemeClr val="accent6"/>
                      </a:fillRef>
                      <a:effectRef idx="3">
                        <a:schemeClr val="accent6"/>
                      </a:effectRef>
                      <a:fontRef idx="minor">
                        <a:schemeClr val="lt1"/>
                      </a:fontRef>
                    </a:style>
                  </a:sp>
                  <a:sp>
                    <a:nvSpPr>
                      <a:cNvPr id="15" name="Cerrar llave 14"/>
                      <a:cNvSpPr/>
                    </a:nvSpPr>
                    <a:spPr>
                      <a:xfrm>
                        <a:off x="7096125" y="1560513"/>
                        <a:ext cx="385763" cy="4003675"/>
                      </a:xfrm>
                      <a:prstGeom prst="rightBrace">
                        <a:avLst/>
                      </a:prstGeom>
                    </a:spPr>
                    <a:txSp>
                      <a:txBody>
                        <a:bodyPr anchor="ctr"/>
                        <a:lstStyle>
                          <a:defPPr>
                            <a:defRPr lang="es-ES_tradnl"/>
                          </a:defPPr>
                          <a:lvl1pPr algn="l" defTabSz="457200" rtl="0" fontAlgn="base">
                            <a:spcBef>
                              <a:spcPct val="0"/>
                            </a:spcBef>
                            <a:spcAft>
                              <a:spcPct val="0"/>
                            </a:spcAft>
                            <a:defRPr kern="1200">
                              <a:solidFill>
                                <a:schemeClr val="tx1"/>
                              </a:solidFill>
                              <a:latin typeface="+mn-lt"/>
                              <a:ea typeface="+mn-ea"/>
                              <a:cs typeface="+mn-cs"/>
                            </a:defRPr>
                          </a:lvl1pPr>
                          <a:lvl2pPr marL="457200" algn="l" defTabSz="457200" rtl="0" fontAlgn="base">
                            <a:spcBef>
                              <a:spcPct val="0"/>
                            </a:spcBef>
                            <a:spcAft>
                              <a:spcPct val="0"/>
                            </a:spcAft>
                            <a:defRPr kern="1200">
                              <a:solidFill>
                                <a:schemeClr val="tx1"/>
                              </a:solidFill>
                              <a:latin typeface="+mn-lt"/>
                              <a:ea typeface="+mn-ea"/>
                              <a:cs typeface="+mn-cs"/>
                            </a:defRPr>
                          </a:lvl2pPr>
                          <a:lvl3pPr marL="914400" algn="l" defTabSz="457200" rtl="0" fontAlgn="base">
                            <a:spcBef>
                              <a:spcPct val="0"/>
                            </a:spcBef>
                            <a:spcAft>
                              <a:spcPct val="0"/>
                            </a:spcAft>
                            <a:defRPr kern="1200">
                              <a:solidFill>
                                <a:schemeClr val="tx1"/>
                              </a:solidFill>
                              <a:latin typeface="+mn-lt"/>
                              <a:ea typeface="+mn-ea"/>
                              <a:cs typeface="+mn-cs"/>
                            </a:defRPr>
                          </a:lvl3pPr>
                          <a:lvl4pPr marL="1371600" algn="l" defTabSz="457200" rtl="0" fontAlgn="base">
                            <a:spcBef>
                              <a:spcPct val="0"/>
                            </a:spcBef>
                            <a:spcAft>
                              <a:spcPct val="0"/>
                            </a:spcAft>
                            <a:defRPr kern="1200">
                              <a:solidFill>
                                <a:schemeClr val="tx1"/>
                              </a:solidFill>
                              <a:latin typeface="+mn-lt"/>
                              <a:ea typeface="+mn-ea"/>
                              <a:cs typeface="+mn-cs"/>
                            </a:defRPr>
                          </a:lvl4pPr>
                          <a:lvl5pPr marL="1828800" algn="l" defTabSz="457200" rtl="0" fontAlgn="base">
                            <a:spcBef>
                              <a:spcPct val="0"/>
                            </a:spcBef>
                            <a:spcAft>
                              <a:spcPct val="0"/>
                            </a:spcAft>
                            <a:defRPr kern="1200">
                              <a:solidFill>
                                <a:schemeClr val="tx1"/>
                              </a:solidFill>
                              <a:latin typeface="+mn-lt"/>
                              <a:ea typeface="+mn-ea"/>
                              <a:cs typeface="+mn-cs"/>
                            </a:defRPr>
                          </a:lvl5pPr>
                          <a:lvl6pPr marL="2286000" algn="l" defTabSz="457200" rtl="0" eaLnBrk="1" latinLnBrk="0" hangingPunct="1">
                            <a:defRPr kern="1200">
                              <a:solidFill>
                                <a:schemeClr val="tx1"/>
                              </a:solidFill>
                              <a:latin typeface="+mn-lt"/>
                              <a:ea typeface="+mn-ea"/>
                              <a:cs typeface="+mn-cs"/>
                            </a:defRPr>
                          </a:lvl6pPr>
                          <a:lvl7pPr marL="2743200" algn="l" defTabSz="457200" rtl="0" eaLnBrk="1" latinLnBrk="0" hangingPunct="1">
                            <a:defRPr kern="1200">
                              <a:solidFill>
                                <a:schemeClr val="tx1"/>
                              </a:solidFill>
                              <a:latin typeface="+mn-lt"/>
                              <a:ea typeface="+mn-ea"/>
                              <a:cs typeface="+mn-cs"/>
                            </a:defRPr>
                          </a:lvl7pPr>
                          <a:lvl8pPr marL="3200400" algn="l" defTabSz="457200" rtl="0" eaLnBrk="1" latinLnBrk="0" hangingPunct="1">
                            <a:defRPr kern="1200">
                              <a:solidFill>
                                <a:schemeClr val="tx1"/>
                              </a:solidFill>
                              <a:latin typeface="+mn-lt"/>
                              <a:ea typeface="+mn-ea"/>
                              <a:cs typeface="+mn-cs"/>
                            </a:defRPr>
                          </a:lvl8pPr>
                          <a:lvl9pPr marL="3657600" algn="l" defTabSz="457200" rtl="0" eaLnBrk="1" latinLnBrk="0" hangingPunct="1">
                            <a:defRPr kern="1200">
                              <a:solidFill>
                                <a:schemeClr val="tx1"/>
                              </a:solidFill>
                              <a:latin typeface="+mn-lt"/>
                              <a:ea typeface="+mn-ea"/>
                              <a:cs typeface="+mn-cs"/>
                            </a:defRPr>
                          </a:lvl9pPr>
                        </a:lstStyle>
                        <a:p>
                          <a:pPr algn="ctr">
                            <a:defRPr/>
                          </a:pPr>
                          <a:endParaRPr lang="es-ES_tradnl"/>
                        </a:p>
                      </a:txBody>
                      <a:useSpRect/>
                    </a:txSp>
                    <a:style>
                      <a:lnRef idx="2">
                        <a:schemeClr val="accent1"/>
                      </a:lnRef>
                      <a:fillRef idx="0">
                        <a:schemeClr val="accent1"/>
                      </a:fillRef>
                      <a:effectRef idx="1">
                        <a:schemeClr val="accent1"/>
                      </a:effectRef>
                      <a:fontRef idx="minor">
                        <a:schemeClr val="tx1"/>
                      </a:fontRef>
                    </a:style>
                  </a:sp>
                  <a:sp>
                    <a:nvSpPr>
                      <a:cNvPr id="16" name="Rectángulo redondeado 15"/>
                      <a:cNvSpPr/>
                    </a:nvSpPr>
                    <a:spPr>
                      <a:xfrm>
                        <a:off x="7482239" y="1560049"/>
                        <a:ext cx="993953" cy="4109277"/>
                      </a:xfrm>
                      <a:prstGeom prst="roundRect">
                        <a:avLst/>
                      </a:prstGeom>
                    </a:spPr>
                    <a:txSp>
                      <a:txBody>
                        <a:bodyPr vert="vert" anchor="ctr"/>
                        <a:lstStyle>
                          <a:defPPr>
                            <a:defRPr lang="es-ES_tradnl"/>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s-ES_tradnl" sz="2400" dirty="0">
                              <a:solidFill>
                                <a:schemeClr val="tx1"/>
                              </a:solidFill>
                            </a:rPr>
                            <a:t>Afectan al propio sentido y finalidad de la educación</a:t>
                          </a:r>
                        </a:p>
                      </a:txBody>
                      <a:useSpRect/>
                    </a:txSp>
                    <a:style>
                      <a:lnRef idx="0">
                        <a:schemeClr val="accent6"/>
                      </a:lnRef>
                      <a:fillRef idx="3">
                        <a:schemeClr val="accent6"/>
                      </a:fillRef>
                      <a:effectRef idx="3">
                        <a:schemeClr val="accent6"/>
                      </a:effectRef>
                      <a:fontRef idx="minor">
                        <a:schemeClr val="lt1"/>
                      </a:fontRef>
                    </a:style>
                  </a:sp>
                  <a:pic>
                    <a:nvPicPr>
                      <a:cNvPr id="27670" name="Imagen 16" descr="quien se atreva.jpg"/>
                      <a:cNvPicPr>
                        <a:picLocks noChangeAspect="1"/>
                      </a:cNvPicPr>
                    </a:nvPicPr>
                    <a:blipFill>
                      <a:blip r:embed="rId6"/>
                      <a:srcRect/>
                      <a:stretch>
                        <a:fillRect/>
                      </a:stretch>
                    </a:blipFill>
                    <a:spPr bwMode="auto">
                      <a:xfrm>
                        <a:off x="234950" y="4624388"/>
                        <a:ext cx="3140075" cy="2089150"/>
                      </a:xfrm>
                      <a:prstGeom prst="rect">
                        <a:avLst/>
                      </a:prstGeom>
                      <a:noFill/>
                      <a:ln w="9525">
                        <a:noFill/>
                        <a:miter lim="800000"/>
                        <a:headEnd/>
                        <a:tailEnd/>
                      </a:ln>
                    </a:spPr>
                  </a:pic>
                  <a:cxnSp>
                    <a:nvCxnSpPr>
                      <a:cNvPr id="19" name="Conector recto de flecha 18"/>
                      <a:cNvCxnSpPr>
                        <a:stCxn id="0" idx="2"/>
                      </a:cNvCxnSpPr>
                    </a:nvCxnSpPr>
                    <a:spPr>
                      <a:xfrm rot="5400000">
                        <a:off x="1208881" y="4198144"/>
                        <a:ext cx="681038" cy="6350"/>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lc:lockedCanvas>
              </a:graphicData>
            </a:graphic>
          </wp:inline>
        </w:drawing>
      </w:r>
    </w:p>
    <w:p w:rsidR="00AD578C" w:rsidRDefault="00AD578C" w:rsidP="00AD578C">
      <w:pPr>
        <w:widowControl w:val="0"/>
        <w:autoSpaceDE w:val="0"/>
        <w:autoSpaceDN w:val="0"/>
        <w:adjustRightInd w:val="0"/>
        <w:ind w:firstLine="708"/>
        <w:jc w:val="both"/>
        <w:rPr>
          <w:rFonts w:cs="Geneva"/>
          <w:color w:val="232323"/>
          <w:szCs w:val="26"/>
          <w:lang w:eastAsia="es-ES_tradnl"/>
        </w:rPr>
      </w:pPr>
    </w:p>
    <w:p w:rsidR="00AD578C" w:rsidRDefault="00AD578C" w:rsidP="00AD578C">
      <w:pPr>
        <w:widowControl w:val="0"/>
        <w:autoSpaceDE w:val="0"/>
        <w:autoSpaceDN w:val="0"/>
        <w:adjustRightInd w:val="0"/>
        <w:ind w:firstLine="708"/>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b/>
          <w:i/>
          <w:color w:val="232323"/>
          <w:sz w:val="16"/>
          <w:szCs w:val="26"/>
          <w:lang w:eastAsia="es-ES_tradnl"/>
        </w:rPr>
      </w:pPr>
      <w:r w:rsidRPr="001B3CF6">
        <w:rPr>
          <w:rFonts w:cs="Geneva"/>
          <w:b/>
          <w:i/>
          <w:color w:val="232323"/>
          <w:sz w:val="16"/>
          <w:szCs w:val="26"/>
          <w:lang w:eastAsia="es-ES_tradnl"/>
        </w:rPr>
        <w:t xml:space="preserve">Presentación: </w:t>
      </w:r>
      <w:r w:rsidRPr="001B3CF6">
        <w:rPr>
          <w:rFonts w:cs="Arial Black"/>
          <w:b/>
          <w:bCs/>
          <w:color w:val="232323"/>
          <w:sz w:val="16"/>
          <w:szCs w:val="26"/>
          <w:lang w:eastAsia="es-ES_tradnl"/>
        </w:rPr>
        <w:t xml:space="preserve">Presentación Capítulo 10: El Profesor como gestor del aula. Juan Carlos </w:t>
      </w:r>
      <w:proofErr w:type="spellStart"/>
      <w:r w:rsidRPr="001B3CF6">
        <w:rPr>
          <w:rFonts w:cs="Arial Black"/>
          <w:b/>
          <w:bCs/>
          <w:color w:val="232323"/>
          <w:sz w:val="16"/>
          <w:szCs w:val="26"/>
          <w:lang w:eastAsia="es-ES_tradnl"/>
        </w:rPr>
        <w:t>Torrego</w:t>
      </w:r>
      <w:proofErr w:type="spellEnd"/>
      <w:r w:rsidRPr="001B3CF6">
        <w:rPr>
          <w:rFonts w:cs="Arial Black"/>
          <w:b/>
          <w:bCs/>
          <w:color w:val="232323"/>
          <w:sz w:val="16"/>
          <w:szCs w:val="26"/>
          <w:lang w:eastAsia="es-ES_tradnl"/>
        </w:rPr>
        <w:t xml:space="preserve"> (</w:t>
      </w:r>
      <w:proofErr w:type="spellStart"/>
      <w:r w:rsidRPr="001B3CF6">
        <w:rPr>
          <w:rFonts w:cs="Arial Black"/>
          <w:b/>
          <w:bCs/>
          <w:color w:val="232323"/>
          <w:sz w:val="16"/>
          <w:szCs w:val="26"/>
          <w:lang w:eastAsia="es-ES_tradnl"/>
        </w:rPr>
        <w:t>pp</w:t>
      </w:r>
      <w:proofErr w:type="spellEnd"/>
      <w:r w:rsidRPr="001B3CF6">
        <w:rPr>
          <w:rFonts w:cs="Arial Black"/>
          <w:b/>
          <w:bCs/>
          <w:color w:val="232323"/>
          <w:sz w:val="16"/>
          <w:szCs w:val="26"/>
          <w:lang w:eastAsia="es-ES_tradnl"/>
        </w:rPr>
        <w:t xml:space="preserve">: 197 a 214). En Didáctica General. La Práctica de la Enseñanza en Educación Infantil, Primaria y Secundaria. Madrid, </w:t>
      </w:r>
      <w:proofErr w:type="spellStart"/>
      <w:r w:rsidRPr="001B3CF6">
        <w:rPr>
          <w:rFonts w:cs="Arial Black"/>
          <w:b/>
          <w:bCs/>
          <w:color w:val="232323"/>
          <w:sz w:val="16"/>
          <w:szCs w:val="26"/>
          <w:lang w:eastAsia="es-ES_tradnl"/>
        </w:rPr>
        <w:t>Mc</w:t>
      </w:r>
      <w:proofErr w:type="spellEnd"/>
      <w:r w:rsidRPr="001B3CF6">
        <w:rPr>
          <w:rFonts w:cs="Arial Black"/>
          <w:b/>
          <w:bCs/>
          <w:color w:val="232323"/>
          <w:sz w:val="16"/>
          <w:szCs w:val="26"/>
          <w:lang w:eastAsia="es-ES_tradnl"/>
        </w:rPr>
        <w:t xml:space="preserve"> </w:t>
      </w:r>
      <w:proofErr w:type="spellStart"/>
      <w:r w:rsidRPr="001B3CF6">
        <w:rPr>
          <w:rFonts w:cs="Arial Black"/>
          <w:b/>
          <w:bCs/>
          <w:color w:val="232323"/>
          <w:sz w:val="16"/>
          <w:szCs w:val="26"/>
          <w:lang w:eastAsia="es-ES_tradnl"/>
        </w:rPr>
        <w:t>Graw</w:t>
      </w:r>
      <w:proofErr w:type="spellEnd"/>
      <w:r w:rsidRPr="001B3CF6">
        <w:rPr>
          <w:rFonts w:cs="Arial Black"/>
          <w:b/>
          <w:bCs/>
          <w:color w:val="232323"/>
          <w:sz w:val="16"/>
          <w:szCs w:val="26"/>
          <w:lang w:eastAsia="es-ES_tradnl"/>
        </w:rPr>
        <w:t xml:space="preserve"> Hill, 2008.</w:t>
      </w:r>
      <w:r w:rsidRPr="001B3CF6">
        <w:rPr>
          <w:rFonts w:cs="Geneva"/>
          <w:b/>
          <w:i/>
          <w:color w:val="232323"/>
          <w:sz w:val="16"/>
          <w:szCs w:val="26"/>
          <w:lang w:eastAsia="es-ES_tradnl"/>
        </w:rPr>
        <w:t xml:space="preserve">Página </w:t>
      </w:r>
      <w:proofErr w:type="spellStart"/>
      <w:r w:rsidRPr="001B3CF6">
        <w:rPr>
          <w:rFonts w:cs="Geneva"/>
          <w:b/>
          <w:i/>
          <w:color w:val="232323"/>
          <w:sz w:val="16"/>
          <w:szCs w:val="26"/>
          <w:lang w:eastAsia="es-ES_tradnl"/>
        </w:rPr>
        <w:t>web</w:t>
      </w:r>
      <w:proofErr w:type="spellEnd"/>
      <w:r w:rsidRPr="001B3CF6">
        <w:rPr>
          <w:rFonts w:cs="Geneva"/>
          <w:b/>
          <w:i/>
          <w:color w:val="232323"/>
          <w:sz w:val="16"/>
          <w:szCs w:val="26"/>
          <w:lang w:eastAsia="es-ES_tradnl"/>
        </w:rPr>
        <w:t>: Educar es transformar. Link: http://kazolas.wix.com/educaytransforma#!bibliografia-bloque-i/ct7f</w:t>
      </w:r>
      <w:r w:rsidRPr="001B3CF6">
        <w:rPr>
          <w:rFonts w:cs="Geneva"/>
          <w:color w:val="232323"/>
          <w:sz w:val="16"/>
          <w:szCs w:val="26"/>
          <w:lang w:eastAsia="es-ES_tradnl"/>
        </w:rPr>
        <w:tab/>
      </w:r>
    </w:p>
    <w:p w:rsidR="00AD578C" w:rsidRPr="006C418E" w:rsidRDefault="00AD578C" w:rsidP="00AD578C">
      <w:pPr>
        <w:widowControl w:val="0"/>
        <w:autoSpaceDE w:val="0"/>
        <w:autoSpaceDN w:val="0"/>
        <w:adjustRightInd w:val="0"/>
        <w:jc w:val="both"/>
        <w:rPr>
          <w:rFonts w:cs="Geneva"/>
          <w:b/>
          <w:i/>
          <w:color w:val="232323"/>
          <w:sz w:val="16"/>
          <w:szCs w:val="26"/>
          <w:lang w:eastAsia="es-ES_tradnl"/>
        </w:rPr>
      </w:pPr>
    </w:p>
    <w:p w:rsidR="00AD578C" w:rsidRPr="00A546DE" w:rsidRDefault="00AD578C" w:rsidP="00AD578C">
      <w:pPr>
        <w:pStyle w:val="NormalWeb"/>
        <w:spacing w:before="2" w:after="2"/>
        <w:ind w:firstLine="708"/>
        <w:jc w:val="both"/>
        <w:rPr>
          <w:rFonts w:ascii="Cambria" w:hAnsi="Cambria"/>
          <w:sz w:val="24"/>
        </w:rPr>
      </w:pPr>
      <w:r w:rsidRPr="00A546DE">
        <w:rPr>
          <w:rFonts w:ascii="Cambria" w:hAnsi="Cambria" w:cs="Geneva"/>
          <w:color w:val="232323"/>
          <w:sz w:val="24"/>
          <w:szCs w:val="26"/>
        </w:rPr>
        <w:t>Por tanto si partimos de la premisa que dice que “el sujeto entiende e interpreta el mundo con base en su experiencia y en el</w:t>
      </w:r>
      <w:r>
        <w:rPr>
          <w:rFonts w:ascii="Cambria" w:hAnsi="Cambria" w:cs="Geneva"/>
          <w:color w:val="232323"/>
          <w:sz w:val="24"/>
          <w:szCs w:val="26"/>
        </w:rPr>
        <w:t xml:space="preserve"> contexto en que se desarrolla.” Entenderemos</w:t>
      </w:r>
      <w:r w:rsidRPr="00A546DE">
        <w:rPr>
          <w:rFonts w:ascii="Cambria" w:hAnsi="Cambria" w:cs="Geneva"/>
          <w:color w:val="232323"/>
          <w:sz w:val="24"/>
          <w:szCs w:val="26"/>
        </w:rPr>
        <w:t xml:space="preserve"> </w:t>
      </w:r>
      <w:r>
        <w:rPr>
          <w:rFonts w:ascii="Cambria" w:hAnsi="Cambria" w:cs="Geneva"/>
          <w:color w:val="232323"/>
          <w:sz w:val="24"/>
          <w:szCs w:val="26"/>
        </w:rPr>
        <w:t xml:space="preserve">que  </w:t>
      </w:r>
      <w:r w:rsidRPr="00A546DE">
        <w:rPr>
          <w:rFonts w:ascii="Cambria" w:hAnsi="Cambria" w:cs="Geneva"/>
          <w:color w:val="232323"/>
          <w:sz w:val="24"/>
          <w:szCs w:val="26"/>
        </w:rPr>
        <w:t>la persona aprende durante toda la vida, y que algunas  veces lo hace de manera conciente y otras de manera tácita.  Que el aprendizaje es significativo cuando tiene alguna relevancia en la vida del sujeto y cuando éste puede relacionar  los nuevos conocimientos con sus experiencias o conocimientos previos. Y que el aprendizaje no solo consiste en memorizar, sino también en entender,  adaptar, asimilar y cómo, empleando ciertas técnicas y estr</w:t>
      </w:r>
      <w:r>
        <w:rPr>
          <w:rFonts w:ascii="Cambria" w:hAnsi="Cambria" w:cs="Geneva"/>
          <w:color w:val="232323"/>
          <w:sz w:val="24"/>
          <w:szCs w:val="26"/>
        </w:rPr>
        <w:t>ategias, éste se hace efectivo.</w:t>
      </w:r>
      <w:r w:rsidRPr="00A546DE">
        <w:rPr>
          <w:rFonts w:ascii="Cambria" w:hAnsi="Cambria" w:cs="Geneva"/>
          <w:color w:val="232323"/>
          <w:sz w:val="24"/>
          <w:szCs w:val="26"/>
        </w:rPr>
        <w:t xml:space="preserve"> (</w:t>
      </w:r>
      <w:proofErr w:type="spellStart"/>
      <w:r w:rsidRPr="00A546DE">
        <w:rPr>
          <w:rFonts w:ascii="Cambria" w:hAnsi="Cambria"/>
          <w:sz w:val="24"/>
          <w:szCs w:val="24"/>
        </w:rPr>
        <w:t>María</w:t>
      </w:r>
      <w:proofErr w:type="spellEnd"/>
      <w:r w:rsidRPr="00A546DE">
        <w:rPr>
          <w:rFonts w:ascii="Cambria" w:hAnsi="Cambria"/>
          <w:sz w:val="24"/>
          <w:szCs w:val="24"/>
        </w:rPr>
        <w:t xml:space="preserve"> Luisa </w:t>
      </w:r>
      <w:proofErr w:type="spellStart"/>
      <w:r w:rsidRPr="00A546DE">
        <w:rPr>
          <w:rFonts w:ascii="Cambria" w:hAnsi="Cambria"/>
          <w:sz w:val="24"/>
          <w:szCs w:val="24"/>
        </w:rPr>
        <w:t>Crispín</w:t>
      </w:r>
      <w:proofErr w:type="spellEnd"/>
      <w:r w:rsidRPr="00A546DE">
        <w:rPr>
          <w:rFonts w:ascii="Cambria" w:hAnsi="Cambria"/>
          <w:sz w:val="24"/>
          <w:szCs w:val="24"/>
        </w:rPr>
        <w:t xml:space="preserve"> Bernardo (Coord.) (2011). Aprendizaje autónomo: orientaciones para la docencia. Universidad Iberoamericana. Ciudad de México. </w:t>
      </w:r>
      <w:proofErr w:type="spellStart"/>
      <w:r w:rsidRPr="00A546DE">
        <w:rPr>
          <w:rFonts w:ascii="Cambria" w:hAnsi="Cambria"/>
          <w:sz w:val="24"/>
          <w:szCs w:val="24"/>
        </w:rPr>
        <w:t>Pp</w:t>
      </w:r>
      <w:proofErr w:type="spellEnd"/>
      <w:r w:rsidRPr="00A546DE">
        <w:rPr>
          <w:rFonts w:ascii="Cambria" w:hAnsi="Cambria"/>
          <w:sz w:val="24"/>
          <w:szCs w:val="24"/>
        </w:rPr>
        <w:t xml:space="preserve">: 10) </w:t>
      </w:r>
      <w:r>
        <w:rPr>
          <w:rFonts w:ascii="Cambria" w:hAnsi="Cambria" w:cs="Arial"/>
          <w:sz w:val="24"/>
          <w:szCs w:val="26"/>
        </w:rPr>
        <w:t>Por lo que en  tal caso el</w:t>
      </w:r>
      <w:r w:rsidRPr="00A546DE">
        <w:rPr>
          <w:rFonts w:ascii="Cambria" w:hAnsi="Cambria" w:cs="Arial"/>
          <w:sz w:val="24"/>
          <w:szCs w:val="26"/>
        </w:rPr>
        <w:t xml:space="preserve"> profesor debe ser el responsable del alumno en la búsqueda del conocimiento, orientando, impulsando y estimulando a los estudiantes hacia la investigación, hacia la formulación de propuestas que resuelvan o mejoren las problemáticas de su realidad, producto de los espacios de análisis o reflexión que él mismo genere, promoviendo el autoaprendizaje del grupo educativo y creando líneas para lograr dicho efecto. </w:t>
      </w:r>
    </w:p>
    <w:p w:rsidR="00AD578C" w:rsidRPr="00A546DE" w:rsidRDefault="00AD578C" w:rsidP="00AD578C">
      <w:pPr>
        <w:widowControl w:val="0"/>
        <w:autoSpaceDE w:val="0"/>
        <w:autoSpaceDN w:val="0"/>
        <w:adjustRightInd w:val="0"/>
        <w:ind w:firstLine="708"/>
        <w:jc w:val="both"/>
        <w:rPr>
          <w:rFonts w:cs="Arial"/>
          <w:szCs w:val="26"/>
          <w:lang w:eastAsia="es-ES_tradnl"/>
        </w:rPr>
      </w:pPr>
    </w:p>
    <w:p w:rsidR="00AD578C" w:rsidRPr="00A546DE" w:rsidRDefault="00AD578C" w:rsidP="00AD578C">
      <w:pPr>
        <w:widowControl w:val="0"/>
        <w:autoSpaceDE w:val="0"/>
        <w:autoSpaceDN w:val="0"/>
        <w:adjustRightInd w:val="0"/>
        <w:ind w:firstLine="708"/>
        <w:jc w:val="both"/>
        <w:rPr>
          <w:rFonts w:cs="Arial"/>
          <w:szCs w:val="26"/>
          <w:lang w:eastAsia="es-ES_tradnl"/>
        </w:rPr>
      </w:pPr>
      <w:r w:rsidRPr="00A546DE">
        <w:rPr>
          <w:rFonts w:cs="Arial"/>
          <w:szCs w:val="26"/>
          <w:lang w:eastAsia="es-ES_tradnl"/>
        </w:rPr>
        <w:t xml:space="preserve"> Debe promover</w:t>
      </w:r>
      <w:r>
        <w:rPr>
          <w:rFonts w:cs="Arial"/>
          <w:szCs w:val="26"/>
          <w:lang w:eastAsia="es-ES_tradnl"/>
        </w:rPr>
        <w:t>, entonces,</w:t>
      </w:r>
      <w:r w:rsidRPr="00A546DE">
        <w:rPr>
          <w:rFonts w:cs="Arial"/>
          <w:szCs w:val="26"/>
          <w:lang w:eastAsia="es-ES_tradnl"/>
        </w:rPr>
        <w:t xml:space="preserve"> valores éticos y morales y salvaguardarlos comprometiéndose con estos, y por tanto abolir esta creencia de que el profesor debe ser neutro en su quehacer. Así como también ser creativo y de fácil adaptación al medio, lo que expresará en su capacidad de crear opciones que le permitan solucionar situaciones nuevas e innovadoras, adaptándose  a las circunstancias cambiantes del contexto.  </w:t>
      </w:r>
    </w:p>
    <w:p w:rsidR="00AD578C" w:rsidRDefault="00AD578C" w:rsidP="00AD578C">
      <w:pPr>
        <w:widowControl w:val="0"/>
        <w:autoSpaceDE w:val="0"/>
        <w:autoSpaceDN w:val="0"/>
        <w:adjustRightInd w:val="0"/>
        <w:jc w:val="both"/>
        <w:rPr>
          <w:rFonts w:cs="Geneva"/>
          <w:color w:val="232323"/>
          <w:szCs w:val="26"/>
          <w:lang w:eastAsia="es-ES_tradnl"/>
        </w:rPr>
      </w:pPr>
      <w:r>
        <w:rPr>
          <w:rFonts w:cs="Geneva"/>
          <w:color w:val="232323"/>
          <w:szCs w:val="26"/>
          <w:lang w:eastAsia="es-ES_tradnl"/>
        </w:rPr>
        <w:t xml:space="preserve">                                             </w:t>
      </w:r>
      <w:r>
        <w:rPr>
          <w:rFonts w:cs="Geneva"/>
          <w:noProof/>
          <w:color w:val="232323"/>
          <w:szCs w:val="26"/>
          <w:lang w:eastAsia="es-ES_tradnl"/>
        </w:rPr>
        <w:drawing>
          <wp:inline distT="0" distB="0" distL="0" distR="0">
            <wp:extent cx="2001520" cy="2044700"/>
            <wp:effectExtent l="2540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001520" cy="2044700"/>
                    </a:xfrm>
                    <a:prstGeom prst="rect">
                      <a:avLst/>
                    </a:prstGeom>
                    <a:noFill/>
                    <a:ln w="9525">
                      <a:noFill/>
                      <a:miter lim="800000"/>
                      <a:headEnd/>
                      <a:tailEnd/>
                    </a:ln>
                  </pic:spPr>
                </pic:pic>
              </a:graphicData>
            </a:graphic>
          </wp:inline>
        </w:drawing>
      </w:r>
      <w:r>
        <w:rPr>
          <w:rFonts w:cs="Geneva"/>
          <w:color w:val="232323"/>
          <w:szCs w:val="26"/>
          <w:lang w:eastAsia="es-ES_tradnl"/>
        </w:rPr>
        <w:t xml:space="preserve">        </w:t>
      </w:r>
    </w:p>
    <w:p w:rsidR="00AD578C" w:rsidRPr="00A546DE" w:rsidRDefault="00AD578C" w:rsidP="00AD578C">
      <w:pPr>
        <w:widowControl w:val="0"/>
        <w:autoSpaceDE w:val="0"/>
        <w:autoSpaceDN w:val="0"/>
        <w:adjustRightInd w:val="0"/>
        <w:jc w:val="both"/>
        <w:rPr>
          <w:rFonts w:cs="Geneva"/>
          <w:color w:val="232323"/>
          <w:szCs w:val="26"/>
          <w:lang w:eastAsia="es-ES_tradnl"/>
        </w:rPr>
      </w:pPr>
    </w:p>
    <w:p w:rsidR="00AD578C" w:rsidRPr="00EA39C8" w:rsidRDefault="00AD578C" w:rsidP="00AD578C">
      <w:pPr>
        <w:pStyle w:val="NormalWeb"/>
        <w:spacing w:before="2" w:after="2"/>
        <w:jc w:val="both"/>
        <w:rPr>
          <w:rFonts w:ascii="Cambria" w:hAnsi="Cambria"/>
          <w:sz w:val="24"/>
          <w:szCs w:val="24"/>
        </w:rPr>
      </w:pPr>
      <w:r w:rsidRPr="00A546DE">
        <w:rPr>
          <w:rFonts w:ascii="Cambria" w:hAnsi="Cambria" w:cs="Geneva"/>
          <w:color w:val="232323"/>
          <w:sz w:val="24"/>
          <w:szCs w:val="26"/>
        </w:rPr>
        <w:t xml:space="preserve">  </w:t>
      </w:r>
      <w:r>
        <w:rPr>
          <w:rFonts w:ascii="Cambria" w:hAnsi="Cambria" w:cs="Geneva"/>
          <w:color w:val="232323"/>
          <w:sz w:val="24"/>
          <w:szCs w:val="26"/>
        </w:rPr>
        <w:t xml:space="preserve">         </w:t>
      </w:r>
      <w:r w:rsidRPr="00A546DE">
        <w:rPr>
          <w:rFonts w:ascii="Cambria" w:hAnsi="Cambria" w:cs="Geneva"/>
          <w:color w:val="232323"/>
          <w:sz w:val="24"/>
          <w:szCs w:val="26"/>
        </w:rPr>
        <w:t>En funci</w:t>
      </w:r>
      <w:r>
        <w:rPr>
          <w:rFonts w:ascii="Cambria" w:hAnsi="Cambria" w:cs="Geneva"/>
          <w:color w:val="232323"/>
          <w:sz w:val="24"/>
          <w:szCs w:val="26"/>
        </w:rPr>
        <w:t xml:space="preserve">ón de ello el rol del profesor se complejiza y </w:t>
      </w:r>
      <w:r w:rsidRPr="00A546DE">
        <w:rPr>
          <w:rFonts w:ascii="Cambria" w:hAnsi="Cambria" w:cs="Geneva"/>
          <w:color w:val="232323"/>
          <w:sz w:val="24"/>
          <w:szCs w:val="26"/>
        </w:rPr>
        <w:t>en la actualidad, correspondería a orientar al estudiante para que desarrolle un conjunto de habilidades tanto intelectuales como socio afectivas</w:t>
      </w:r>
      <w:r>
        <w:rPr>
          <w:rFonts w:ascii="Cambria" w:hAnsi="Cambria" w:cs="Geneva"/>
          <w:color w:val="232323"/>
          <w:sz w:val="24"/>
          <w:szCs w:val="26"/>
        </w:rPr>
        <w:t>,</w:t>
      </w:r>
      <w:r w:rsidRPr="00A546DE">
        <w:rPr>
          <w:rFonts w:ascii="Cambria" w:hAnsi="Cambria" w:cs="Geneva"/>
          <w:color w:val="232323"/>
          <w:sz w:val="24"/>
          <w:szCs w:val="26"/>
        </w:rPr>
        <w:t xml:space="preserve"> que le permitan aprender toda la vida y tomar conciencia de sí mismo, de sus motivaciones, de sus capacidades y de sus posibilidades.  Impulsándolos a aprender a trabajar con otros, </w:t>
      </w:r>
      <w:r>
        <w:rPr>
          <w:rFonts w:ascii="Cambria" w:hAnsi="Cambria" w:cs="Geneva"/>
          <w:color w:val="232323"/>
          <w:sz w:val="24"/>
          <w:szCs w:val="26"/>
        </w:rPr>
        <w:t xml:space="preserve">a </w:t>
      </w:r>
      <w:r w:rsidRPr="00A546DE">
        <w:rPr>
          <w:rFonts w:ascii="Cambria" w:hAnsi="Cambria" w:cs="Geneva"/>
          <w:color w:val="232323"/>
          <w:sz w:val="24"/>
          <w:szCs w:val="26"/>
        </w:rPr>
        <w:t xml:space="preserve">pensar críticamente, </w:t>
      </w:r>
      <w:r>
        <w:rPr>
          <w:rFonts w:ascii="Cambria" w:hAnsi="Cambria" w:cs="Geneva"/>
          <w:color w:val="232323"/>
          <w:sz w:val="24"/>
          <w:szCs w:val="26"/>
        </w:rPr>
        <w:t xml:space="preserve">a </w:t>
      </w:r>
      <w:r w:rsidRPr="00A546DE">
        <w:rPr>
          <w:rFonts w:ascii="Cambria" w:hAnsi="Cambria" w:cs="Geneva"/>
          <w:color w:val="232323"/>
          <w:sz w:val="24"/>
          <w:szCs w:val="26"/>
        </w:rPr>
        <w:t xml:space="preserve">resolver problemas, </w:t>
      </w:r>
      <w:r>
        <w:rPr>
          <w:rFonts w:ascii="Cambria" w:hAnsi="Cambria" w:cs="Geneva"/>
          <w:color w:val="232323"/>
          <w:sz w:val="24"/>
          <w:szCs w:val="26"/>
        </w:rPr>
        <w:t xml:space="preserve">a </w:t>
      </w:r>
      <w:r w:rsidRPr="00A546DE">
        <w:rPr>
          <w:rFonts w:ascii="Cambria" w:hAnsi="Cambria" w:cs="Geneva"/>
          <w:color w:val="232323"/>
          <w:sz w:val="24"/>
          <w:szCs w:val="26"/>
        </w:rPr>
        <w:t xml:space="preserve">buscar y seleccionar la información que necesita,  </w:t>
      </w:r>
      <w:r>
        <w:rPr>
          <w:rFonts w:ascii="Cambria" w:hAnsi="Cambria" w:cs="Geneva"/>
          <w:color w:val="232323"/>
          <w:sz w:val="24"/>
          <w:szCs w:val="26"/>
        </w:rPr>
        <w:t xml:space="preserve">a </w:t>
      </w:r>
      <w:r w:rsidRPr="00A546DE">
        <w:rPr>
          <w:rFonts w:ascii="Cambria" w:hAnsi="Cambria" w:cs="Geneva"/>
          <w:color w:val="232323"/>
          <w:sz w:val="24"/>
          <w:szCs w:val="26"/>
        </w:rPr>
        <w:t xml:space="preserve">comprender la realidad desde distintas perspectivas y </w:t>
      </w:r>
      <w:r>
        <w:rPr>
          <w:rFonts w:ascii="Cambria" w:hAnsi="Cambria" w:cs="Geneva"/>
          <w:color w:val="232323"/>
          <w:sz w:val="24"/>
          <w:szCs w:val="26"/>
        </w:rPr>
        <w:t xml:space="preserve">a </w:t>
      </w:r>
      <w:r w:rsidRPr="00A546DE">
        <w:rPr>
          <w:rFonts w:ascii="Cambria" w:hAnsi="Cambria" w:cs="Geneva"/>
          <w:color w:val="232323"/>
          <w:sz w:val="24"/>
          <w:szCs w:val="26"/>
        </w:rPr>
        <w:t xml:space="preserve">comprender su complejidad, para que de esa manera sea capaz de tomar decisiones informadas y reflexionadas en distintos aspectos de su vida, asumiendo de esta forma la responsabilidad que esto conlleva y las consecuencias de estas. </w:t>
      </w:r>
      <w:r>
        <w:rPr>
          <w:rFonts w:ascii="Cambria" w:hAnsi="Cambria"/>
          <w:sz w:val="24"/>
          <w:szCs w:val="24"/>
        </w:rPr>
        <w:t xml:space="preserve">Permitiéndole </w:t>
      </w:r>
      <w:r w:rsidRPr="00A546DE">
        <w:rPr>
          <w:rFonts w:ascii="Cambria" w:hAnsi="Cambria"/>
          <w:sz w:val="24"/>
          <w:szCs w:val="24"/>
        </w:rPr>
        <w:t>al estudiante “aprender a aprender” y autorregular sus aprendizajes</w:t>
      </w:r>
      <w:r>
        <w:rPr>
          <w:rFonts w:ascii="Cambria" w:hAnsi="Cambria"/>
          <w:sz w:val="24"/>
          <w:szCs w:val="24"/>
        </w:rPr>
        <w:t>,</w:t>
      </w:r>
      <w:r w:rsidRPr="00A546DE">
        <w:rPr>
          <w:rFonts w:ascii="Cambria" w:hAnsi="Cambria"/>
          <w:sz w:val="24"/>
          <w:szCs w:val="24"/>
        </w:rPr>
        <w:t xml:space="preserve"> aportando en este aspecto como docentes en la </w:t>
      </w:r>
      <w:r>
        <w:rPr>
          <w:rFonts w:ascii="Cambria" w:hAnsi="Cambria"/>
          <w:sz w:val="24"/>
          <w:szCs w:val="24"/>
        </w:rPr>
        <w:t xml:space="preserve">elección de las estrategias más </w:t>
      </w:r>
      <w:r w:rsidRPr="00A546DE">
        <w:rPr>
          <w:rFonts w:ascii="Cambria" w:hAnsi="Cambria"/>
          <w:sz w:val="24"/>
          <w:szCs w:val="24"/>
        </w:rPr>
        <w:t xml:space="preserve">adecuadas para lograrlo. </w:t>
      </w:r>
      <w:r>
        <w:rPr>
          <w:rFonts w:ascii="Cambria" w:hAnsi="Cambria"/>
          <w:sz w:val="24"/>
          <w:szCs w:val="24"/>
        </w:rPr>
        <w:t>Centrando el foco</w:t>
      </w:r>
      <w:r w:rsidRPr="00A546DE">
        <w:rPr>
          <w:rFonts w:ascii="Cambria" w:hAnsi="Cambria"/>
          <w:sz w:val="24"/>
          <w:szCs w:val="24"/>
        </w:rPr>
        <w:t xml:space="preserve"> en el aprendizaje de los </w:t>
      </w:r>
      <w:r>
        <w:rPr>
          <w:rFonts w:ascii="Cambria" w:hAnsi="Cambria"/>
          <w:sz w:val="24"/>
          <w:szCs w:val="24"/>
        </w:rPr>
        <w:t>estudiantes y en su formació</w:t>
      </w:r>
      <w:r w:rsidRPr="00A546DE">
        <w:rPr>
          <w:rFonts w:ascii="Cambria" w:hAnsi="Cambria"/>
          <w:sz w:val="24"/>
          <w:szCs w:val="24"/>
        </w:rPr>
        <w:t>n</w:t>
      </w:r>
      <w:r>
        <w:rPr>
          <w:rFonts w:ascii="Cambria" w:hAnsi="Cambria"/>
          <w:sz w:val="24"/>
          <w:szCs w:val="24"/>
        </w:rPr>
        <w:t xml:space="preserve"> </w:t>
      </w:r>
      <w:r w:rsidRPr="00A546DE">
        <w:rPr>
          <w:rFonts w:ascii="Cambria" w:hAnsi="Cambria"/>
          <w:sz w:val="24"/>
          <w:szCs w:val="24"/>
        </w:rPr>
        <w:t xml:space="preserve">integral, </w:t>
      </w:r>
      <w:r>
        <w:rPr>
          <w:rFonts w:ascii="Cambria" w:hAnsi="Cambria"/>
          <w:sz w:val="24"/>
          <w:szCs w:val="24"/>
        </w:rPr>
        <w:t xml:space="preserve">instando </w:t>
      </w:r>
      <w:r w:rsidRPr="00A546DE">
        <w:rPr>
          <w:rFonts w:ascii="Cambria" w:hAnsi="Cambria"/>
          <w:sz w:val="24"/>
          <w:szCs w:val="24"/>
        </w:rPr>
        <w:t xml:space="preserve">a los estudiantes a involucrarse de manera activa en </w:t>
      </w:r>
      <w:r>
        <w:rPr>
          <w:rFonts w:ascii="Cambria" w:hAnsi="Cambria"/>
          <w:sz w:val="24"/>
          <w:szCs w:val="24"/>
        </w:rPr>
        <w:t>el proceso</w:t>
      </w:r>
      <w:r w:rsidRPr="00A546DE">
        <w:rPr>
          <w:rFonts w:ascii="Cambria" w:hAnsi="Cambria"/>
          <w:sz w:val="24"/>
          <w:szCs w:val="24"/>
        </w:rPr>
        <w:t>, para que organicen y elaboren nuevos conocimientos y los integren a las experiencias previas; para</w:t>
      </w:r>
      <w:r>
        <w:rPr>
          <w:rFonts w:ascii="Cambria" w:hAnsi="Cambria"/>
          <w:sz w:val="24"/>
          <w:szCs w:val="24"/>
        </w:rPr>
        <w:t xml:space="preserve"> que aprendan a</w:t>
      </w:r>
      <w:r w:rsidRPr="00A546DE">
        <w:rPr>
          <w:rFonts w:ascii="Cambria" w:hAnsi="Cambria"/>
          <w:sz w:val="24"/>
          <w:szCs w:val="24"/>
        </w:rPr>
        <w:t xml:space="preserve"> pensar, regulen sus motivaciones, encuentren sentido a lo que hacen y lo utilicen en nuevas situaciones. </w:t>
      </w:r>
    </w:p>
    <w:p w:rsidR="00AD578C" w:rsidRDefault="00AD578C" w:rsidP="00AD578C">
      <w:pPr>
        <w:pStyle w:val="NormalWeb"/>
        <w:spacing w:before="2" w:after="2"/>
        <w:jc w:val="both"/>
        <w:rPr>
          <w:rFonts w:ascii="Cambria" w:hAnsi="Cambria"/>
          <w:sz w:val="24"/>
        </w:rPr>
      </w:pPr>
    </w:p>
    <w:p w:rsidR="00AD578C" w:rsidRDefault="00AD578C" w:rsidP="00AD578C">
      <w:pPr>
        <w:pStyle w:val="NormalWeb"/>
        <w:spacing w:before="2" w:after="2"/>
        <w:jc w:val="both"/>
        <w:rPr>
          <w:rFonts w:ascii="Cambria" w:hAnsi="Cambria"/>
          <w:sz w:val="24"/>
        </w:rPr>
      </w:pPr>
      <w:r>
        <w:rPr>
          <w:rFonts w:ascii="Cambria" w:hAnsi="Cambria"/>
          <w:sz w:val="24"/>
        </w:rPr>
        <w:tab/>
        <w:t>Lo que da cuenta del aprendizaje, como un proceso multifactorial, que se realiza diariamente, más allá del ámbito académico o escolar, dando cuenta de la relación que se establece entre la persona y su ambiente. Y por lo tanto, reafirmando este proceso como un proceso  conciente que requiere de la participación activa del sujeto tanto en la construcción de nuevos conocimientos como en el desarrollo de competencias relevantes para distintos aspectos de la vida.  Es además un proceso personal, de construcción propia, que se va a incorporando a la vida (del que aprende) de manera cíclica y dinámica y que involucra un cambio (relativamente permanente) en las capacidades, disposición y conducta de las personas, de ahí la importancia de este proceso social de interacción. Y del desafío, que dicha perspectiva le instala a  la profesión docente, que es colocarse al servicio de una educación de calidad para todos, tarea no menor, si pensamos en todo lo que ello involucra, tanto en el aspecto ideológico, ético y valórico.</w:t>
      </w:r>
    </w:p>
    <w:p w:rsidR="00AD578C" w:rsidRDefault="00AD578C" w:rsidP="00AD578C">
      <w:pPr>
        <w:pStyle w:val="NormalWeb"/>
        <w:spacing w:before="2" w:after="2"/>
        <w:jc w:val="both"/>
        <w:rPr>
          <w:rFonts w:ascii="Cambria" w:hAnsi="Cambria"/>
          <w:sz w:val="24"/>
        </w:rPr>
      </w:pPr>
    </w:p>
    <w:p w:rsidR="00AD578C" w:rsidRDefault="00AD578C" w:rsidP="00AD578C">
      <w:pPr>
        <w:pStyle w:val="NormalWeb"/>
        <w:spacing w:before="2" w:after="2"/>
        <w:jc w:val="both"/>
        <w:rPr>
          <w:rFonts w:ascii="Cambria" w:hAnsi="Cambria"/>
          <w:sz w:val="24"/>
        </w:rPr>
      </w:pPr>
    </w:p>
    <w:p w:rsidR="00AD578C" w:rsidRDefault="00AD578C" w:rsidP="00AD578C">
      <w:pPr>
        <w:pStyle w:val="NormalWeb"/>
        <w:spacing w:before="2" w:after="2"/>
        <w:jc w:val="both"/>
        <w:rPr>
          <w:rFonts w:ascii="Cambria" w:hAnsi="Cambria"/>
          <w:sz w:val="24"/>
        </w:rPr>
      </w:pPr>
      <w:r>
        <w:rPr>
          <w:rFonts w:ascii="Cambria" w:hAnsi="Cambria"/>
          <w:sz w:val="24"/>
        </w:rPr>
        <w:t xml:space="preserve">                        </w:t>
      </w:r>
      <w:r>
        <w:rPr>
          <w:rFonts w:ascii="Cambria" w:hAnsi="Cambria"/>
          <w:noProof/>
          <w:sz w:val="24"/>
        </w:rPr>
        <w:drawing>
          <wp:inline distT="0" distB="0" distL="0" distR="0">
            <wp:extent cx="4295775" cy="2855595"/>
            <wp:effectExtent l="0" t="0" r="0" b="0"/>
            <wp:docPr id="3" name="O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61023" cy="6336833"/>
                      <a:chOff x="234682" y="262309"/>
                      <a:chExt cx="6861023" cy="6336833"/>
                    </a:xfrm>
                  </a:grpSpPr>
                  <a:sp>
                    <a:nvSpPr>
                      <a:cNvPr id="4" name="Rectángulo redondeado 3"/>
                      <a:cNvSpPr/>
                    </a:nvSpPr>
                    <a:spPr>
                      <a:xfrm>
                        <a:off x="234682" y="2130915"/>
                        <a:ext cx="2636732" cy="2217894"/>
                      </a:xfrm>
                      <a:prstGeom prst="roundRect">
                        <a:avLst/>
                      </a:prstGeom>
                    </a:spPr>
                    <a:txSp>
                      <a:txBody>
                        <a:bodyPr anchor="ctr">
                          <a:prstTxWarp prst="textNoShape">
                            <a:avLst/>
                          </a:prstTxWarp>
                        </a:bodyPr>
                        <a:lstStyle>
                          <a:defPPr>
                            <a:defRPr lang="es-ES_tradnl"/>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a:defRPr/>
                          </a:pPr>
                          <a:r>
                            <a:rPr lang="es-CL" sz="2400" b="1" i="1" dirty="0">
                              <a:solidFill>
                                <a:schemeClr val="tx1"/>
                              </a:solidFill>
                              <a:ea typeface="ＭＳ Ｐゴシック" pitchFamily="-110" charset="-128"/>
                              <a:cs typeface="ＭＳ Ｐゴシック" pitchFamily="-110" charset="-128"/>
                            </a:rPr>
                            <a:t>Profesión docente al servicio de una educación de calidad para todos. </a:t>
                          </a:r>
                          <a:endParaRPr lang="es-ES_tradnl" sz="2400" b="1" i="1" dirty="0">
                            <a:solidFill>
                              <a:schemeClr val="tx1"/>
                            </a:solidFill>
                            <a:ea typeface="ＭＳ Ｐゴシック" pitchFamily="-110" charset="-128"/>
                            <a:cs typeface="ＭＳ Ｐゴシック" pitchFamily="-110" charset="-128"/>
                          </a:endParaRPr>
                        </a:p>
                      </a:txBody>
                      <a:useSpRect/>
                    </a:txSp>
                    <a:style>
                      <a:lnRef idx="0">
                        <a:schemeClr val="accent6"/>
                      </a:lnRef>
                      <a:fillRef idx="3">
                        <a:schemeClr val="accent6"/>
                      </a:fillRef>
                      <a:effectRef idx="3">
                        <a:schemeClr val="accent6"/>
                      </a:effectRef>
                      <a:fontRef idx="minor">
                        <a:schemeClr val="lt1"/>
                      </a:fontRef>
                    </a:style>
                  </a:sp>
                  <a:cxnSp>
                    <a:nvCxnSpPr>
                      <a:cNvPr id="8" name="Conector recto de flecha 7"/>
                      <a:cNvCxnSpPr/>
                    </a:nvCxnSpPr>
                    <a:spPr>
                      <a:xfrm rot="5400000" flipH="1" flipV="1">
                        <a:off x="2637632" y="1394619"/>
                        <a:ext cx="1697037" cy="1228725"/>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10" name="Conector recto de flecha 9"/>
                      <a:cNvCxnSpPr>
                        <a:stCxn id="0" idx="3"/>
                      </a:cNvCxnSpPr>
                    </a:nvCxnSpPr>
                    <a:spPr>
                      <a:xfrm flipV="1">
                        <a:off x="2871788" y="2857500"/>
                        <a:ext cx="1463675" cy="608013"/>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12" name="Conector recto de flecha 11"/>
                      <a:cNvCxnSpPr>
                        <a:stCxn id="0" idx="3"/>
                      </a:cNvCxnSpPr>
                    </a:nvCxnSpPr>
                    <a:spPr>
                      <a:xfrm>
                        <a:off x="2871788" y="3465513"/>
                        <a:ext cx="1463675" cy="1076325"/>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14" name="Conector recto de flecha 13"/>
                      <a:cNvCxnSpPr/>
                    </a:nvCxnSpPr>
                    <a:spPr>
                      <a:xfrm rot="16200000" flipH="1">
                        <a:off x="2678113" y="4183063"/>
                        <a:ext cx="1974850" cy="1587500"/>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sp>
                    <a:nvSpPr>
                      <a:cNvPr id="17" name="Rectángulo redondeado 16"/>
                      <a:cNvSpPr/>
                    </a:nvSpPr>
                    <a:spPr>
                      <a:xfrm>
                        <a:off x="4100046" y="262309"/>
                        <a:ext cx="2636732" cy="1426479"/>
                      </a:xfrm>
                      <a:prstGeom prst="roundRect">
                        <a:avLst/>
                      </a:prstGeom>
                    </a:spPr>
                    <a:txSp>
                      <a:txBody>
                        <a:bodyPr anchor="ctr"/>
                        <a:lstStyle>
                          <a:defPPr>
                            <a:defRPr lang="es-ES_tradnl"/>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s-CL" sz="2400" b="1" i="1" dirty="0">
                              <a:solidFill>
                                <a:schemeClr val="tx1"/>
                              </a:solidFill>
                            </a:rPr>
                            <a:t>Ideología, valores, creencias y compromisos.</a:t>
                          </a:r>
                          <a:endParaRPr lang="es-ES_tradnl" sz="2400" b="1" i="1" dirty="0">
                            <a:solidFill>
                              <a:schemeClr val="tx1"/>
                            </a:solidFill>
                          </a:endParaRPr>
                        </a:p>
                      </a:txBody>
                      <a:useSpRect/>
                    </a:txSp>
                    <a:style>
                      <a:lnRef idx="0">
                        <a:schemeClr val="accent6"/>
                      </a:lnRef>
                      <a:fillRef idx="3">
                        <a:schemeClr val="accent6"/>
                      </a:fillRef>
                      <a:effectRef idx="3">
                        <a:schemeClr val="accent6"/>
                      </a:effectRef>
                      <a:fontRef idx="minor">
                        <a:schemeClr val="lt1"/>
                      </a:fontRef>
                    </a:style>
                  </a:sp>
                  <a:sp>
                    <a:nvSpPr>
                      <a:cNvPr id="18" name="Rectángulo redondeado 17"/>
                      <a:cNvSpPr/>
                    </a:nvSpPr>
                    <a:spPr>
                      <a:xfrm>
                        <a:off x="4334730" y="2130915"/>
                        <a:ext cx="2636732" cy="1058210"/>
                      </a:xfrm>
                      <a:prstGeom prst="roundRect">
                        <a:avLst/>
                      </a:prstGeom>
                    </a:spPr>
                    <a:txSp>
                      <a:txBody>
                        <a:bodyPr anchor="ctr"/>
                        <a:lstStyle>
                          <a:defPPr>
                            <a:defRPr lang="es-ES_tradnl"/>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s-CL" sz="2400" b="1" i="1" dirty="0">
                              <a:solidFill>
                                <a:schemeClr val="tx1"/>
                              </a:solidFill>
                            </a:rPr>
                            <a:t>Ética profesional.</a:t>
                          </a:r>
                          <a:endParaRPr lang="es-ES_tradnl" sz="2400" b="1" i="1" dirty="0">
                            <a:solidFill>
                              <a:schemeClr val="tx1"/>
                            </a:solidFill>
                          </a:endParaRPr>
                        </a:p>
                      </a:txBody>
                      <a:useSpRect/>
                    </a:txSp>
                    <a:style>
                      <a:lnRef idx="0">
                        <a:schemeClr val="accent6"/>
                      </a:lnRef>
                      <a:fillRef idx="3">
                        <a:schemeClr val="accent6"/>
                      </a:fillRef>
                      <a:effectRef idx="3">
                        <a:schemeClr val="accent6"/>
                      </a:effectRef>
                      <a:fontRef idx="minor">
                        <a:schemeClr val="lt1"/>
                      </a:fontRef>
                    </a:style>
                  </a:sp>
                  <a:sp>
                    <a:nvSpPr>
                      <a:cNvPr id="19" name="Rectángulo redondeado 18"/>
                      <a:cNvSpPr/>
                    </a:nvSpPr>
                    <a:spPr>
                      <a:xfrm>
                        <a:off x="4334730" y="3810381"/>
                        <a:ext cx="2636732" cy="1058210"/>
                      </a:xfrm>
                      <a:prstGeom prst="roundRect">
                        <a:avLst/>
                      </a:prstGeom>
                    </a:spPr>
                    <a:txSp>
                      <a:txBody>
                        <a:bodyPr anchor="ctr"/>
                        <a:lstStyle>
                          <a:defPPr>
                            <a:defRPr lang="es-ES_tradnl"/>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s-CL" sz="2400" b="1" i="1" dirty="0">
                              <a:solidFill>
                                <a:schemeClr val="tx1"/>
                              </a:solidFill>
                            </a:rPr>
                            <a:t>Ética de relación educativa.</a:t>
                          </a:r>
                          <a:endParaRPr lang="es-ES_tradnl" sz="2400" b="1" i="1" dirty="0">
                            <a:solidFill>
                              <a:schemeClr val="tx1"/>
                            </a:solidFill>
                          </a:endParaRPr>
                        </a:p>
                      </a:txBody>
                      <a:useSpRect/>
                    </a:txSp>
                    <a:style>
                      <a:lnRef idx="0">
                        <a:schemeClr val="accent6"/>
                      </a:lnRef>
                      <a:fillRef idx="3">
                        <a:schemeClr val="accent6"/>
                      </a:fillRef>
                      <a:effectRef idx="3">
                        <a:schemeClr val="accent6"/>
                      </a:effectRef>
                      <a:fontRef idx="minor">
                        <a:schemeClr val="lt1"/>
                      </a:fontRef>
                    </a:style>
                  </a:sp>
                  <a:sp>
                    <a:nvSpPr>
                      <a:cNvPr id="20" name="Rectángulo redondeado 19"/>
                      <a:cNvSpPr/>
                    </a:nvSpPr>
                    <a:spPr>
                      <a:xfrm>
                        <a:off x="4458973" y="5540932"/>
                        <a:ext cx="2636732" cy="1058210"/>
                      </a:xfrm>
                      <a:prstGeom prst="roundRect">
                        <a:avLst/>
                      </a:prstGeom>
                    </a:spPr>
                    <a:txSp>
                      <a:txBody>
                        <a:bodyPr anchor="ctr"/>
                        <a:lstStyle>
                          <a:defPPr>
                            <a:defRPr lang="es-ES_tradnl"/>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s-CL" sz="2400" b="1" i="1" dirty="0">
                              <a:solidFill>
                                <a:schemeClr val="tx1"/>
                              </a:solidFill>
                            </a:rPr>
                            <a:t>Ética comunitaria democrática.</a:t>
                          </a:r>
                          <a:endParaRPr lang="es-ES_tradnl" sz="2400" b="1" i="1" dirty="0">
                            <a:solidFill>
                              <a:schemeClr val="tx1"/>
                            </a:solidFill>
                          </a:endParaRPr>
                        </a:p>
                      </a:txBody>
                      <a:useSpRect/>
                    </a:txSp>
                    <a:style>
                      <a:lnRef idx="0">
                        <a:schemeClr val="accent6"/>
                      </a:lnRef>
                      <a:fillRef idx="3">
                        <a:schemeClr val="accent6"/>
                      </a:fillRef>
                      <a:effectRef idx="3">
                        <a:schemeClr val="accent6"/>
                      </a:effectRef>
                      <a:fontRef idx="minor">
                        <a:schemeClr val="lt1"/>
                      </a:fontRef>
                    </a:style>
                  </a:sp>
                  <a:pic>
                    <a:nvPicPr>
                      <a:cNvPr id="34841" name="Imagen 27" descr="aseguramiento.jpg"/>
                      <a:cNvPicPr>
                        <a:picLocks noChangeAspect="1"/>
                      </a:cNvPicPr>
                    </a:nvPicPr>
                    <a:blipFill>
                      <a:blip r:embed="rId8"/>
                      <a:srcRect/>
                      <a:stretch>
                        <a:fillRect/>
                      </a:stretch>
                    </a:blipFill>
                    <a:spPr bwMode="auto">
                      <a:xfrm>
                        <a:off x="234950" y="4695825"/>
                        <a:ext cx="2636838" cy="1689100"/>
                      </a:xfrm>
                      <a:prstGeom prst="rect">
                        <a:avLst/>
                      </a:prstGeom>
                      <a:noFill/>
                      <a:ln w="9525">
                        <a:noFill/>
                        <a:miter lim="800000"/>
                        <a:headEnd/>
                        <a:tailEnd/>
                      </a:ln>
                    </a:spPr>
                  </a:pic>
                </lc:lockedCanvas>
              </a:graphicData>
            </a:graphic>
          </wp:inline>
        </w:drawing>
      </w:r>
    </w:p>
    <w:p w:rsidR="00AD578C" w:rsidRDefault="00AD578C" w:rsidP="00AD578C">
      <w:pPr>
        <w:pStyle w:val="NormalWeb"/>
        <w:spacing w:before="2" w:after="2"/>
        <w:jc w:val="both"/>
        <w:rPr>
          <w:rFonts w:ascii="Cambria" w:hAnsi="Cambria" w:cs="Geneva"/>
          <w:b/>
          <w:i/>
          <w:color w:val="232323"/>
          <w:sz w:val="16"/>
          <w:szCs w:val="26"/>
        </w:rPr>
      </w:pPr>
    </w:p>
    <w:p w:rsidR="00AD578C" w:rsidRDefault="00AD578C" w:rsidP="00AD578C">
      <w:pPr>
        <w:pStyle w:val="NormalWeb"/>
        <w:spacing w:before="2" w:after="2"/>
        <w:jc w:val="both"/>
        <w:rPr>
          <w:rFonts w:ascii="Cambria" w:hAnsi="Cambria" w:cs="Geneva"/>
          <w:b/>
          <w:i/>
          <w:color w:val="232323"/>
          <w:sz w:val="16"/>
          <w:szCs w:val="26"/>
        </w:rPr>
      </w:pPr>
    </w:p>
    <w:p w:rsidR="00AD578C" w:rsidRDefault="00AD578C" w:rsidP="00AD578C">
      <w:pPr>
        <w:pStyle w:val="NormalWeb"/>
        <w:spacing w:before="2" w:after="2"/>
        <w:jc w:val="both"/>
        <w:rPr>
          <w:rFonts w:ascii="Cambria" w:hAnsi="Cambria"/>
          <w:sz w:val="24"/>
        </w:rPr>
      </w:pPr>
      <w:r w:rsidRPr="001B3CF6">
        <w:rPr>
          <w:rFonts w:ascii="Cambria" w:hAnsi="Cambria" w:cs="Geneva"/>
          <w:b/>
          <w:i/>
          <w:color w:val="232323"/>
          <w:sz w:val="16"/>
          <w:szCs w:val="26"/>
        </w:rPr>
        <w:t xml:space="preserve">Presentación: </w:t>
      </w:r>
      <w:r w:rsidRPr="001B3CF6">
        <w:rPr>
          <w:rFonts w:ascii="Cambria" w:hAnsi="Cambria" w:cs="Arial Black"/>
          <w:b/>
          <w:bCs/>
          <w:color w:val="232323"/>
          <w:sz w:val="16"/>
          <w:szCs w:val="26"/>
        </w:rPr>
        <w:t xml:space="preserve">Presentación Capítulo 10: El Profesor como gestor del aula. Juan Carlos </w:t>
      </w:r>
      <w:proofErr w:type="spellStart"/>
      <w:r w:rsidRPr="001B3CF6">
        <w:rPr>
          <w:rFonts w:ascii="Cambria" w:hAnsi="Cambria" w:cs="Arial Black"/>
          <w:b/>
          <w:bCs/>
          <w:color w:val="232323"/>
          <w:sz w:val="16"/>
          <w:szCs w:val="26"/>
        </w:rPr>
        <w:t>Torrego</w:t>
      </w:r>
      <w:proofErr w:type="spellEnd"/>
      <w:r w:rsidRPr="001B3CF6">
        <w:rPr>
          <w:rFonts w:ascii="Cambria" w:hAnsi="Cambria" w:cs="Arial Black"/>
          <w:b/>
          <w:bCs/>
          <w:color w:val="232323"/>
          <w:sz w:val="16"/>
          <w:szCs w:val="26"/>
        </w:rPr>
        <w:t xml:space="preserve"> (</w:t>
      </w:r>
      <w:proofErr w:type="spellStart"/>
      <w:r w:rsidRPr="001B3CF6">
        <w:rPr>
          <w:rFonts w:ascii="Cambria" w:hAnsi="Cambria" w:cs="Arial Black"/>
          <w:b/>
          <w:bCs/>
          <w:color w:val="232323"/>
          <w:sz w:val="16"/>
          <w:szCs w:val="26"/>
        </w:rPr>
        <w:t>pp</w:t>
      </w:r>
      <w:proofErr w:type="spellEnd"/>
      <w:r w:rsidRPr="001B3CF6">
        <w:rPr>
          <w:rFonts w:ascii="Cambria" w:hAnsi="Cambria" w:cs="Arial Black"/>
          <w:b/>
          <w:bCs/>
          <w:color w:val="232323"/>
          <w:sz w:val="16"/>
          <w:szCs w:val="26"/>
        </w:rPr>
        <w:t xml:space="preserve">: 197 a 214). En Didáctica General. La Práctica de la Enseñanza en Educación Infantil, Primaria y Secundaria. Madrid, </w:t>
      </w:r>
      <w:proofErr w:type="spellStart"/>
      <w:r w:rsidRPr="001B3CF6">
        <w:rPr>
          <w:rFonts w:ascii="Cambria" w:hAnsi="Cambria" w:cs="Arial Black"/>
          <w:b/>
          <w:bCs/>
          <w:color w:val="232323"/>
          <w:sz w:val="16"/>
          <w:szCs w:val="26"/>
        </w:rPr>
        <w:t>Mc</w:t>
      </w:r>
      <w:proofErr w:type="spellEnd"/>
      <w:r w:rsidRPr="001B3CF6">
        <w:rPr>
          <w:rFonts w:ascii="Cambria" w:hAnsi="Cambria" w:cs="Arial Black"/>
          <w:b/>
          <w:bCs/>
          <w:color w:val="232323"/>
          <w:sz w:val="16"/>
          <w:szCs w:val="26"/>
        </w:rPr>
        <w:t xml:space="preserve"> </w:t>
      </w:r>
      <w:proofErr w:type="spellStart"/>
      <w:r w:rsidRPr="001B3CF6">
        <w:rPr>
          <w:rFonts w:ascii="Cambria" w:hAnsi="Cambria" w:cs="Arial Black"/>
          <w:b/>
          <w:bCs/>
          <w:color w:val="232323"/>
          <w:sz w:val="16"/>
          <w:szCs w:val="26"/>
        </w:rPr>
        <w:t>Graw</w:t>
      </w:r>
      <w:proofErr w:type="spellEnd"/>
      <w:r w:rsidRPr="001B3CF6">
        <w:rPr>
          <w:rFonts w:ascii="Cambria" w:hAnsi="Cambria" w:cs="Arial Black"/>
          <w:b/>
          <w:bCs/>
          <w:color w:val="232323"/>
          <w:sz w:val="16"/>
          <w:szCs w:val="26"/>
        </w:rPr>
        <w:t xml:space="preserve"> Hill, 2008.</w:t>
      </w:r>
      <w:r w:rsidRPr="001B3CF6">
        <w:rPr>
          <w:rFonts w:ascii="Cambria" w:hAnsi="Cambria" w:cs="Geneva"/>
          <w:b/>
          <w:i/>
          <w:color w:val="232323"/>
          <w:sz w:val="16"/>
          <w:szCs w:val="26"/>
        </w:rPr>
        <w:t xml:space="preserve">Página </w:t>
      </w:r>
      <w:proofErr w:type="spellStart"/>
      <w:r w:rsidRPr="001B3CF6">
        <w:rPr>
          <w:rFonts w:ascii="Cambria" w:hAnsi="Cambria" w:cs="Geneva"/>
          <w:b/>
          <w:i/>
          <w:color w:val="232323"/>
          <w:sz w:val="16"/>
          <w:szCs w:val="26"/>
        </w:rPr>
        <w:t>web</w:t>
      </w:r>
      <w:proofErr w:type="spellEnd"/>
      <w:r w:rsidRPr="001B3CF6">
        <w:rPr>
          <w:rFonts w:ascii="Cambria" w:hAnsi="Cambria" w:cs="Geneva"/>
          <w:b/>
          <w:i/>
          <w:color w:val="232323"/>
          <w:sz w:val="16"/>
          <w:szCs w:val="26"/>
        </w:rPr>
        <w:t>: Educar es transformar. Link: http://kazolas.wix.com/educaytransforma#!bibliografia-bloque-i/ct7f</w:t>
      </w:r>
    </w:p>
    <w:p w:rsidR="00AD578C" w:rsidRDefault="00AD578C" w:rsidP="00AD578C">
      <w:pPr>
        <w:pStyle w:val="NormalWeb"/>
        <w:spacing w:before="2" w:after="2"/>
        <w:jc w:val="both"/>
        <w:rPr>
          <w:rFonts w:ascii="Cambria" w:hAnsi="Cambria"/>
          <w:sz w:val="24"/>
        </w:rPr>
      </w:pPr>
    </w:p>
    <w:p w:rsidR="00AD578C" w:rsidRDefault="00AD578C" w:rsidP="00AD578C">
      <w:pPr>
        <w:pStyle w:val="NormalWeb"/>
        <w:spacing w:before="2" w:after="2"/>
        <w:jc w:val="both"/>
        <w:rPr>
          <w:rFonts w:ascii="Cambria" w:hAnsi="Cambria"/>
          <w:sz w:val="24"/>
          <w:szCs w:val="22"/>
        </w:rPr>
      </w:pPr>
      <w:r>
        <w:rPr>
          <w:rFonts w:ascii="Cambria" w:hAnsi="Cambria"/>
          <w:b/>
          <w:sz w:val="24"/>
        </w:rPr>
        <w:tab/>
      </w:r>
      <w:r>
        <w:rPr>
          <w:rFonts w:ascii="Cambria" w:hAnsi="Cambria"/>
          <w:sz w:val="24"/>
        </w:rPr>
        <w:t>Planteando, de esta manera, el desafío de refundar la pedagogía en un paradigma distinto al mecanicista (</w:t>
      </w:r>
      <w:r w:rsidRPr="00AA4A25">
        <w:rPr>
          <w:rFonts w:ascii="Cambria" w:hAnsi="Cambria"/>
        </w:rPr>
        <w:t xml:space="preserve">ver video: Cambiando los paradigmas en educación, Ken Robinson. Página </w:t>
      </w:r>
      <w:proofErr w:type="spellStart"/>
      <w:r w:rsidRPr="00AA4A25">
        <w:rPr>
          <w:rFonts w:ascii="Cambria" w:hAnsi="Cambria"/>
        </w:rPr>
        <w:t>web</w:t>
      </w:r>
      <w:proofErr w:type="spellEnd"/>
      <w:r w:rsidRPr="00AA4A25">
        <w:rPr>
          <w:rFonts w:ascii="Cambria" w:hAnsi="Cambria"/>
        </w:rPr>
        <w:t xml:space="preserve">: Educar para transformar. Link: </w:t>
      </w:r>
      <w:hyperlink r:id="rId9" w:history="1">
        <w:r w:rsidRPr="00AA4A25">
          <w:rPr>
            <w:rStyle w:val="Hipervnculo"/>
            <w:rFonts w:ascii="Cambria" w:hAnsi="Cambria"/>
          </w:rPr>
          <w:t>http://k</w:t>
        </w:r>
        <w:r w:rsidRPr="00AA4A25">
          <w:rPr>
            <w:rStyle w:val="Hipervnculo"/>
            <w:rFonts w:ascii="Cambria" w:hAnsi="Cambria"/>
          </w:rPr>
          <w:t>a</w:t>
        </w:r>
        <w:r w:rsidRPr="00AA4A25">
          <w:rPr>
            <w:rStyle w:val="Hipervnculo"/>
            <w:rFonts w:ascii="Cambria" w:hAnsi="Cambria"/>
          </w:rPr>
          <w:t>zolas.wix.com/educaytransforma</w:t>
        </w:r>
      </w:hyperlink>
      <w:r>
        <w:rPr>
          <w:rFonts w:ascii="Cambria" w:hAnsi="Cambria"/>
          <w:sz w:val="24"/>
        </w:rPr>
        <w:t xml:space="preserve">), </w:t>
      </w:r>
      <w:proofErr w:type="spellStart"/>
      <w:r>
        <w:rPr>
          <w:rFonts w:ascii="Cambria" w:hAnsi="Cambria"/>
          <w:sz w:val="24"/>
        </w:rPr>
        <w:t>reconceptualizando</w:t>
      </w:r>
      <w:proofErr w:type="spellEnd"/>
      <w:r>
        <w:rPr>
          <w:rFonts w:ascii="Cambria" w:hAnsi="Cambria"/>
          <w:sz w:val="24"/>
        </w:rPr>
        <w:t xml:space="preserve"> la noción tradicional de conocimiento y comprendiéndolo, como propone Edgard Morin, como un acto biológico, cerebral, espiritual, lógico, lingüístico, cultural, social e histórico,  que no puede ser disociado de la vida humana ni de la relación social. Lo que indudablemente implica, pedagógicamente hablando, reconocer que conocer supone una interacción dialógica y recursiva de múltiples fuentes, avanzando, de esta manera, desde lo disciplinar hacia lo transdisciplinar de las propuestas educativas, ampliando todas las formas posibles de conocer  y reivindicando el derecho fundamental a la reflexión.  Y en tal sentido, así como lo afirma Clara Romero en su artículo: “</w:t>
      </w:r>
      <w:r w:rsidRPr="00556627">
        <w:rPr>
          <w:rFonts w:ascii="Cambria" w:hAnsi="Cambria"/>
          <w:bCs/>
          <w:sz w:val="24"/>
          <w:szCs w:val="22"/>
        </w:rPr>
        <w:t>Paradigma d</w:t>
      </w:r>
      <w:r>
        <w:rPr>
          <w:rFonts w:ascii="Cambria" w:hAnsi="Cambria"/>
          <w:bCs/>
          <w:sz w:val="24"/>
          <w:szCs w:val="22"/>
        </w:rPr>
        <w:t xml:space="preserve">e la complejidad, modelos </w:t>
      </w:r>
      <w:r w:rsidRPr="00556627">
        <w:rPr>
          <w:rFonts w:ascii="Cambria" w:hAnsi="Cambria"/>
          <w:bCs/>
          <w:sz w:val="24"/>
          <w:szCs w:val="22"/>
        </w:rPr>
        <w:t>científicos y conocimiento educativo</w:t>
      </w:r>
      <w:r w:rsidRPr="00556627">
        <w:rPr>
          <w:rFonts w:ascii="Cambria" w:hAnsi="Cambria"/>
          <w:sz w:val="24"/>
          <w:szCs w:val="22"/>
        </w:rPr>
        <w:t>.</w:t>
      </w:r>
      <w:r>
        <w:rPr>
          <w:rFonts w:ascii="Cambria" w:hAnsi="Cambria"/>
          <w:sz w:val="24"/>
          <w:szCs w:val="22"/>
        </w:rPr>
        <w:t xml:space="preserve">” (2006), los valores que motivan esta reforma del pensamiento, apuntan a conocer para hacer, combinando teoría y acción; conocer para innovar, creando nuevos conocimientos; y conocer para repensar lo conocido , es decir, </w:t>
      </w:r>
      <w:proofErr w:type="spellStart"/>
      <w:r>
        <w:rPr>
          <w:rFonts w:ascii="Cambria" w:hAnsi="Cambria"/>
          <w:sz w:val="24"/>
          <w:szCs w:val="22"/>
        </w:rPr>
        <w:t>epistemologizar</w:t>
      </w:r>
      <w:proofErr w:type="spellEnd"/>
      <w:r>
        <w:rPr>
          <w:rFonts w:ascii="Cambria" w:hAnsi="Cambria"/>
          <w:sz w:val="24"/>
          <w:szCs w:val="22"/>
        </w:rPr>
        <w:t xml:space="preserve"> el conocimiento. </w:t>
      </w:r>
      <w:r w:rsidRPr="00556627">
        <w:rPr>
          <w:rFonts w:ascii="Cambria" w:hAnsi="Cambria"/>
          <w:sz w:val="24"/>
          <w:szCs w:val="22"/>
        </w:rPr>
        <w:t xml:space="preserve"> </w:t>
      </w:r>
      <w:r>
        <w:rPr>
          <w:rFonts w:ascii="Cambria" w:hAnsi="Cambria"/>
          <w:sz w:val="24"/>
          <w:szCs w:val="22"/>
        </w:rPr>
        <w:t xml:space="preserve">Colocando en el centro de este proceso al sujeto, como un ser que conoce para hacer, para innovar, para recrear y repensar la realidad y su propia condición dentro de esta. </w:t>
      </w:r>
    </w:p>
    <w:p w:rsidR="00AD578C" w:rsidRDefault="00AD578C" w:rsidP="00AD578C">
      <w:pPr>
        <w:pStyle w:val="NormalWeb"/>
        <w:spacing w:before="2" w:after="2"/>
        <w:ind w:left="720"/>
        <w:jc w:val="both"/>
        <w:rPr>
          <w:rFonts w:ascii="Cambria" w:hAnsi="Cambria"/>
          <w:sz w:val="24"/>
          <w:szCs w:val="22"/>
        </w:rPr>
      </w:pPr>
    </w:p>
    <w:p w:rsidR="00AD578C" w:rsidRDefault="00AD578C" w:rsidP="00AD578C">
      <w:pPr>
        <w:pStyle w:val="NormalWeb"/>
        <w:spacing w:before="2" w:after="2"/>
        <w:jc w:val="both"/>
        <w:rPr>
          <w:rFonts w:ascii="Cambria" w:hAnsi="Cambria"/>
          <w:sz w:val="24"/>
          <w:szCs w:val="22"/>
        </w:rPr>
      </w:pPr>
      <w:r>
        <w:rPr>
          <w:rFonts w:ascii="Cambria" w:hAnsi="Cambria"/>
          <w:sz w:val="24"/>
          <w:szCs w:val="22"/>
        </w:rPr>
        <w:tab/>
        <w:t>Necesariamente esto implica concebir la labor educativa como un proceso que va más allá de la transmisión de información, conocimientos, habilidades y destrezas y observarla como un espacio propicio para el mejoramiento integral del ser humano en vinculación con el medio. Y de esta forma transformar la Escuela en un espacio de creación que promueva el trabajo colectivo y solidario, de construcción de saberes no fragmentarios que apuntan al desarrollo de la relación con el mundo y con uno mismo  y de una visión transformadora de la realidad.</w:t>
      </w:r>
    </w:p>
    <w:p w:rsidR="00AD578C" w:rsidRDefault="00AD578C" w:rsidP="00AD578C">
      <w:pPr>
        <w:pStyle w:val="NormalWeb"/>
        <w:spacing w:before="2" w:after="2"/>
        <w:ind w:left="720"/>
        <w:jc w:val="both"/>
        <w:rPr>
          <w:rFonts w:ascii="Cambria" w:hAnsi="Cambria"/>
          <w:sz w:val="24"/>
          <w:szCs w:val="22"/>
        </w:rPr>
      </w:pPr>
    </w:p>
    <w:p w:rsidR="00AD578C" w:rsidRDefault="00AD578C" w:rsidP="00AD578C">
      <w:pPr>
        <w:pStyle w:val="NormalWeb"/>
        <w:spacing w:before="2" w:after="2"/>
        <w:ind w:left="720"/>
        <w:jc w:val="both"/>
        <w:rPr>
          <w:rFonts w:ascii="Cambria" w:hAnsi="Cambria"/>
          <w:sz w:val="24"/>
        </w:rPr>
      </w:pPr>
      <w:r>
        <w:rPr>
          <w:rFonts w:ascii="Cambria" w:hAnsi="Cambria"/>
          <w:sz w:val="24"/>
        </w:rPr>
        <w:t xml:space="preserve">             </w:t>
      </w:r>
      <w:r>
        <w:rPr>
          <w:rFonts w:ascii="Cambria" w:hAnsi="Cambria"/>
          <w:noProof/>
          <w:sz w:val="24"/>
        </w:rPr>
        <w:drawing>
          <wp:inline distT="0" distB="0" distL="0" distR="0">
            <wp:extent cx="4572000" cy="1691005"/>
            <wp:effectExtent l="0" t="0" r="0" b="0"/>
            <wp:docPr id="4" name="O 10"/>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905492" cy="3561893"/>
                      <a:chOff x="-128518" y="3046645"/>
                      <a:chExt cx="9905492" cy="3561893"/>
                    </a:xfrm>
                  </a:grpSpPr>
                  <a:sp>
                    <a:nvSpPr>
                      <a:cNvPr id="9" name="Rectángulo redondeado 8"/>
                      <a:cNvSpPr/>
                    </a:nvSpPr>
                    <a:spPr>
                      <a:xfrm>
                        <a:off x="-128518" y="3411313"/>
                        <a:ext cx="3482906" cy="2702159"/>
                      </a:xfrm>
                      <a:prstGeom prst="roundRect">
                        <a:avLst/>
                      </a:prstGeom>
                    </a:spPr>
                    <a:txSp>
                      <a:txBody>
                        <a:bodyPr anchor="ctr">
                          <a:prstTxWarp prst="textNoShape">
                            <a:avLst/>
                          </a:prstTxWarp>
                        </a:bodyPr>
                        <a:lstStyle>
                          <a:defPPr>
                            <a:defRPr lang="es-ES_tradnl"/>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a:defRPr/>
                          </a:pPr>
                          <a:r>
                            <a:rPr lang="es-CL" sz="2400" b="1" i="1" dirty="0">
                              <a:solidFill>
                                <a:schemeClr val="tx1"/>
                              </a:solidFill>
                              <a:ea typeface="ＭＳ Ｐゴシック" pitchFamily="-110" charset="-128"/>
                              <a:cs typeface="ＭＳ Ｐゴシック" pitchFamily="-110" charset="-128"/>
                            </a:rPr>
                            <a:t>Las actuaciones de un profesor como profesional de la enseñanza</a:t>
                          </a:r>
                          <a:endParaRPr lang="es-ES_tradnl" b="1" i="1" dirty="0">
                            <a:solidFill>
                              <a:schemeClr val="tx1"/>
                            </a:solidFill>
                            <a:ea typeface="ＭＳ Ｐゴシック" pitchFamily="-110" charset="-128"/>
                            <a:cs typeface="ＭＳ Ｐゴシック" pitchFamily="-110" charset="-128"/>
                          </a:endParaRPr>
                        </a:p>
                      </a:txBody>
                      <a:useSpRect/>
                    </a:txSp>
                    <a:style>
                      <a:lnRef idx="0">
                        <a:schemeClr val="accent6"/>
                      </a:lnRef>
                      <a:fillRef idx="3">
                        <a:schemeClr val="accent6"/>
                      </a:fillRef>
                      <a:effectRef idx="3">
                        <a:schemeClr val="accent6"/>
                      </a:effectRef>
                      <a:fontRef idx="minor">
                        <a:schemeClr val="lt1"/>
                      </a:fontRef>
                    </a:style>
                  </a:sp>
                  <a:sp>
                    <a:nvSpPr>
                      <a:cNvPr id="10" name="Flecha derecha 9"/>
                      <a:cNvSpPr/>
                    </a:nvSpPr>
                    <a:spPr>
                      <a:xfrm>
                        <a:off x="2922163" y="3923755"/>
                        <a:ext cx="2033405" cy="1564488"/>
                      </a:xfrm>
                      <a:prstGeom prst="rightArrow">
                        <a:avLst/>
                      </a:prstGeom>
                      <a:solidFill>
                        <a:schemeClr val="tx2">
                          <a:lumMod val="60000"/>
                          <a:lumOff val="40000"/>
                        </a:schemeClr>
                      </a:solidFill>
                    </a:spPr>
                    <a:txSp>
                      <a:txBody>
                        <a:bodyPr anchor="ctr"/>
                        <a:lstStyle>
                          <a:defPPr>
                            <a:defRPr lang="es-ES_tradnl"/>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s-CL" sz="1600" b="1" i="1" dirty="0">
                              <a:solidFill>
                                <a:schemeClr val="tx1"/>
                              </a:solidFill>
                            </a:rPr>
                            <a:t>Se pueden agrupar en tres niveles:</a:t>
                          </a:r>
                          <a:endParaRPr lang="es-ES_tradnl" sz="1600" b="1" i="1" dirty="0">
                            <a:solidFill>
                              <a:srgbClr val="000000"/>
                            </a:solidFill>
                          </a:endParaRPr>
                        </a:p>
                      </a:txBody>
                      <a:useSpRect/>
                    </a:txSp>
                    <a:style>
                      <a:lnRef idx="1">
                        <a:schemeClr val="accent5"/>
                      </a:lnRef>
                      <a:fillRef idx="3">
                        <a:schemeClr val="accent5"/>
                      </a:fillRef>
                      <a:effectRef idx="2">
                        <a:schemeClr val="accent5"/>
                      </a:effectRef>
                      <a:fontRef idx="minor">
                        <a:schemeClr val="lt1"/>
                      </a:fontRef>
                    </a:style>
                  </a:sp>
                  <a:sp>
                    <a:nvSpPr>
                      <a:cNvPr id="11" name="Elipse 10"/>
                      <a:cNvSpPr/>
                    </a:nvSpPr>
                    <a:spPr>
                      <a:xfrm>
                        <a:off x="3792064" y="3046645"/>
                        <a:ext cx="3570528" cy="2008309"/>
                      </a:xfrm>
                      <a:prstGeom prst="ellipse">
                        <a:avLst/>
                      </a:prstGeom>
                      <a:blipFill dpi="0" rotWithShape="1">
                        <a:blip r:embed="rId10">
                          <a:alphaModFix amt="51000"/>
                          <a:duotone>
                            <a:schemeClr val="accent6">
                              <a:shade val="30000"/>
                              <a:satMod val="150000"/>
                            </a:schemeClr>
                            <a:schemeClr val="accent6">
                              <a:alpha val="10000"/>
                              <a:satMod val="120000"/>
                            </a:schemeClr>
                          </a:duotone>
                        </a:blip>
                        <a:srcRect/>
                        <a:stretch>
                          <a:fillRect/>
                        </a:stretch>
                      </a:blipFill>
                    </a:spPr>
                    <a:txSp>
                      <a:txBody>
                        <a:bodyPr anchor="ctr"/>
                        <a:lstStyle>
                          <a:defPPr>
                            <a:defRPr lang="es-ES_tradnl"/>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a:defRPr/>
                          </a:pPr>
                          <a:r>
                            <a:rPr lang="es-CL" sz="2800" b="1" i="1" dirty="0">
                              <a:solidFill>
                                <a:schemeClr val="tx1"/>
                              </a:solidFill>
                            </a:rPr>
                            <a:t>Facilitador del aprendizaje</a:t>
                          </a:r>
                          <a:endParaRPr lang="es-ES_tradnl" sz="2800" b="1" i="1" dirty="0">
                            <a:solidFill>
                              <a:schemeClr val="tx1"/>
                            </a:solidFill>
                          </a:endParaRPr>
                        </a:p>
                      </a:txBody>
                      <a:useSpRect/>
                    </a:txSp>
                    <a:style>
                      <a:lnRef idx="1">
                        <a:schemeClr val="accent6"/>
                      </a:lnRef>
                      <a:fillRef idx="3">
                        <a:schemeClr val="accent6"/>
                      </a:fillRef>
                      <a:effectRef idx="2">
                        <a:schemeClr val="accent6"/>
                      </a:effectRef>
                      <a:fontRef idx="minor">
                        <a:schemeClr val="lt1"/>
                      </a:fontRef>
                    </a:style>
                  </a:sp>
                  <a:sp>
                    <a:nvSpPr>
                      <a:cNvPr id="12" name="Elipse 11"/>
                      <a:cNvSpPr/>
                    </a:nvSpPr>
                    <a:spPr>
                      <a:xfrm>
                        <a:off x="3792064" y="4580342"/>
                        <a:ext cx="3570528" cy="2028196"/>
                      </a:xfrm>
                      <a:prstGeom prst="ellipse">
                        <a:avLst/>
                      </a:prstGeom>
                      <a:blipFill dpi="0" rotWithShape="1">
                        <a:blip r:embed="rId10">
                          <a:alphaModFix amt="51000"/>
                          <a:duotone>
                            <a:schemeClr val="accent6">
                              <a:shade val="30000"/>
                              <a:satMod val="150000"/>
                            </a:schemeClr>
                            <a:schemeClr val="accent6">
                              <a:alpha val="10000"/>
                              <a:satMod val="120000"/>
                            </a:schemeClr>
                          </a:duotone>
                        </a:blip>
                        <a:srcRect/>
                        <a:stretch>
                          <a:fillRect/>
                        </a:stretch>
                      </a:blipFill>
                    </a:spPr>
                    <a:txSp>
                      <a:txBody>
                        <a:bodyPr anchor="ctr"/>
                        <a:lstStyle>
                          <a:defPPr>
                            <a:defRPr lang="es-ES_tradnl"/>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a:defRPr/>
                          </a:pPr>
                          <a:r>
                            <a:rPr lang="es-CL" sz="2800" b="1" i="1" dirty="0">
                              <a:solidFill>
                                <a:schemeClr val="tx1"/>
                              </a:solidFill>
                            </a:rPr>
                            <a:t>Orientador y gestor de la convivencia</a:t>
                          </a:r>
                          <a:endParaRPr lang="es-ES_tradnl" sz="2800" b="1" i="1" dirty="0">
                            <a:solidFill>
                              <a:schemeClr val="tx1"/>
                            </a:solidFill>
                          </a:endParaRPr>
                        </a:p>
                      </a:txBody>
                      <a:useSpRect/>
                    </a:txSp>
                    <a:style>
                      <a:lnRef idx="1">
                        <a:schemeClr val="accent6"/>
                      </a:lnRef>
                      <a:fillRef idx="3">
                        <a:schemeClr val="accent6"/>
                      </a:fillRef>
                      <a:effectRef idx="2">
                        <a:schemeClr val="accent6"/>
                      </a:effectRef>
                      <a:fontRef idx="minor">
                        <a:schemeClr val="lt1"/>
                      </a:fontRef>
                    </a:style>
                  </a:sp>
                  <a:sp>
                    <a:nvSpPr>
                      <a:cNvPr id="13" name="Elipse 12"/>
                      <a:cNvSpPr/>
                    </a:nvSpPr>
                    <a:spPr>
                      <a:xfrm>
                        <a:off x="6139984" y="3660187"/>
                        <a:ext cx="3636990" cy="2417297"/>
                      </a:xfrm>
                      <a:prstGeom prst="ellipse">
                        <a:avLst/>
                      </a:prstGeom>
                      <a:blipFill dpi="0" rotWithShape="1">
                        <a:blip r:embed="rId10">
                          <a:alphaModFix amt="51000"/>
                          <a:duotone>
                            <a:schemeClr val="accent6">
                              <a:shade val="30000"/>
                              <a:satMod val="150000"/>
                            </a:schemeClr>
                            <a:schemeClr val="accent6">
                              <a:alpha val="10000"/>
                              <a:satMod val="120000"/>
                            </a:schemeClr>
                          </a:duotone>
                        </a:blip>
                        <a:srcRect/>
                        <a:stretch>
                          <a:fillRect/>
                        </a:stretch>
                      </a:blipFill>
                    </a:spPr>
                    <a:txSp>
                      <a:txBody>
                        <a:bodyPr anchor="ctr"/>
                        <a:lstStyle>
                          <a:defPPr>
                            <a:defRPr lang="es-ES_tradnl"/>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a:defRPr/>
                          </a:pPr>
                          <a:r>
                            <a:rPr lang="es-CL" sz="2800" b="1" i="1" dirty="0">
                              <a:solidFill>
                                <a:schemeClr val="tx1"/>
                              </a:solidFill>
                            </a:rPr>
                            <a:t>Miembro de una organización</a:t>
                          </a:r>
                          <a:endParaRPr lang="es-ES_tradnl" sz="2800" b="1" i="1" dirty="0">
                            <a:solidFill>
                              <a:schemeClr val="tx1"/>
                            </a:solidFill>
                          </a:endParaRPr>
                        </a:p>
                      </a:txBody>
                      <a:useSpRect/>
                    </a:txSp>
                    <a:style>
                      <a:lnRef idx="1">
                        <a:schemeClr val="accent6"/>
                      </a:lnRef>
                      <a:fillRef idx="3">
                        <a:schemeClr val="accent6"/>
                      </a:fillRef>
                      <a:effectRef idx="2">
                        <a:schemeClr val="accent6"/>
                      </a:effectRef>
                      <a:fontRef idx="minor">
                        <a:schemeClr val="lt1"/>
                      </a:fontRef>
                    </a:style>
                  </a:sp>
                </lc:lockedCanvas>
              </a:graphicData>
            </a:graphic>
          </wp:inline>
        </w:drawing>
      </w:r>
    </w:p>
    <w:p w:rsidR="00AD578C" w:rsidRDefault="00AD578C" w:rsidP="00AD578C">
      <w:pPr>
        <w:pStyle w:val="NormalWeb"/>
        <w:spacing w:before="2" w:after="2"/>
        <w:jc w:val="both"/>
        <w:rPr>
          <w:rFonts w:ascii="Cambria" w:hAnsi="Cambria" w:cs="Geneva"/>
          <w:b/>
          <w:i/>
          <w:color w:val="232323"/>
          <w:sz w:val="16"/>
          <w:szCs w:val="26"/>
        </w:rPr>
      </w:pPr>
    </w:p>
    <w:p w:rsidR="00AD578C" w:rsidRDefault="00AD578C" w:rsidP="00AD578C">
      <w:pPr>
        <w:pStyle w:val="NormalWeb"/>
        <w:spacing w:before="2" w:after="2"/>
        <w:jc w:val="both"/>
        <w:rPr>
          <w:rFonts w:ascii="Cambria" w:hAnsi="Cambria"/>
          <w:sz w:val="24"/>
        </w:rPr>
      </w:pPr>
      <w:r w:rsidRPr="001B3CF6">
        <w:rPr>
          <w:rFonts w:ascii="Cambria" w:hAnsi="Cambria" w:cs="Geneva"/>
          <w:b/>
          <w:i/>
          <w:color w:val="232323"/>
          <w:sz w:val="16"/>
          <w:szCs w:val="26"/>
        </w:rPr>
        <w:t xml:space="preserve">Presentación: </w:t>
      </w:r>
      <w:r w:rsidRPr="001B3CF6">
        <w:rPr>
          <w:rFonts w:ascii="Cambria" w:hAnsi="Cambria" w:cs="Arial Black"/>
          <w:b/>
          <w:bCs/>
          <w:color w:val="232323"/>
          <w:sz w:val="16"/>
          <w:szCs w:val="26"/>
        </w:rPr>
        <w:t xml:space="preserve">Presentación Capítulo 10: El Profesor como gestor del aula. Juan Carlos </w:t>
      </w:r>
      <w:proofErr w:type="spellStart"/>
      <w:r w:rsidRPr="001B3CF6">
        <w:rPr>
          <w:rFonts w:ascii="Cambria" w:hAnsi="Cambria" w:cs="Arial Black"/>
          <w:b/>
          <w:bCs/>
          <w:color w:val="232323"/>
          <w:sz w:val="16"/>
          <w:szCs w:val="26"/>
        </w:rPr>
        <w:t>Torrego</w:t>
      </w:r>
      <w:proofErr w:type="spellEnd"/>
      <w:r w:rsidRPr="001B3CF6">
        <w:rPr>
          <w:rFonts w:ascii="Cambria" w:hAnsi="Cambria" w:cs="Arial Black"/>
          <w:b/>
          <w:bCs/>
          <w:color w:val="232323"/>
          <w:sz w:val="16"/>
          <w:szCs w:val="26"/>
        </w:rPr>
        <w:t xml:space="preserve"> (</w:t>
      </w:r>
      <w:proofErr w:type="spellStart"/>
      <w:r w:rsidRPr="001B3CF6">
        <w:rPr>
          <w:rFonts w:ascii="Cambria" w:hAnsi="Cambria" w:cs="Arial Black"/>
          <w:b/>
          <w:bCs/>
          <w:color w:val="232323"/>
          <w:sz w:val="16"/>
          <w:szCs w:val="26"/>
        </w:rPr>
        <w:t>pp</w:t>
      </w:r>
      <w:proofErr w:type="spellEnd"/>
      <w:r w:rsidRPr="001B3CF6">
        <w:rPr>
          <w:rFonts w:ascii="Cambria" w:hAnsi="Cambria" w:cs="Arial Black"/>
          <w:b/>
          <w:bCs/>
          <w:color w:val="232323"/>
          <w:sz w:val="16"/>
          <w:szCs w:val="26"/>
        </w:rPr>
        <w:t xml:space="preserve">: 197 a 214). En Didáctica General. La Práctica de la Enseñanza en Educación Infantil, Primaria y Secundaria. Madrid, </w:t>
      </w:r>
      <w:proofErr w:type="spellStart"/>
      <w:r w:rsidRPr="001B3CF6">
        <w:rPr>
          <w:rFonts w:ascii="Cambria" w:hAnsi="Cambria" w:cs="Arial Black"/>
          <w:b/>
          <w:bCs/>
          <w:color w:val="232323"/>
          <w:sz w:val="16"/>
          <w:szCs w:val="26"/>
        </w:rPr>
        <w:t>Mc</w:t>
      </w:r>
      <w:proofErr w:type="spellEnd"/>
      <w:r w:rsidRPr="001B3CF6">
        <w:rPr>
          <w:rFonts w:ascii="Cambria" w:hAnsi="Cambria" w:cs="Arial Black"/>
          <w:b/>
          <w:bCs/>
          <w:color w:val="232323"/>
          <w:sz w:val="16"/>
          <w:szCs w:val="26"/>
        </w:rPr>
        <w:t xml:space="preserve"> </w:t>
      </w:r>
      <w:proofErr w:type="spellStart"/>
      <w:r w:rsidRPr="001B3CF6">
        <w:rPr>
          <w:rFonts w:ascii="Cambria" w:hAnsi="Cambria" w:cs="Arial Black"/>
          <w:b/>
          <w:bCs/>
          <w:color w:val="232323"/>
          <w:sz w:val="16"/>
          <w:szCs w:val="26"/>
        </w:rPr>
        <w:t>Graw</w:t>
      </w:r>
      <w:proofErr w:type="spellEnd"/>
      <w:r w:rsidRPr="001B3CF6">
        <w:rPr>
          <w:rFonts w:ascii="Cambria" w:hAnsi="Cambria" w:cs="Arial Black"/>
          <w:b/>
          <w:bCs/>
          <w:color w:val="232323"/>
          <w:sz w:val="16"/>
          <w:szCs w:val="26"/>
        </w:rPr>
        <w:t xml:space="preserve"> Hill, 2008.</w:t>
      </w:r>
      <w:r w:rsidRPr="001B3CF6">
        <w:rPr>
          <w:rFonts w:ascii="Cambria" w:hAnsi="Cambria" w:cs="Geneva"/>
          <w:b/>
          <w:i/>
          <w:color w:val="232323"/>
          <w:sz w:val="16"/>
          <w:szCs w:val="26"/>
        </w:rPr>
        <w:t xml:space="preserve">Página </w:t>
      </w:r>
      <w:proofErr w:type="spellStart"/>
      <w:r w:rsidRPr="001B3CF6">
        <w:rPr>
          <w:rFonts w:ascii="Cambria" w:hAnsi="Cambria" w:cs="Geneva"/>
          <w:b/>
          <w:i/>
          <w:color w:val="232323"/>
          <w:sz w:val="16"/>
          <w:szCs w:val="26"/>
        </w:rPr>
        <w:t>web</w:t>
      </w:r>
      <w:proofErr w:type="spellEnd"/>
      <w:r w:rsidRPr="001B3CF6">
        <w:rPr>
          <w:rFonts w:ascii="Cambria" w:hAnsi="Cambria" w:cs="Geneva"/>
          <w:b/>
          <w:i/>
          <w:color w:val="232323"/>
          <w:sz w:val="16"/>
          <w:szCs w:val="26"/>
        </w:rPr>
        <w:t>: Educar es transformar. Link: http://kazolas.wix.com/educaytransforma#!bibliografia-bloque-i/ct7f</w:t>
      </w:r>
    </w:p>
    <w:p w:rsidR="00AD578C" w:rsidRDefault="00AD578C" w:rsidP="00AD578C">
      <w:pPr>
        <w:widowControl w:val="0"/>
        <w:autoSpaceDE w:val="0"/>
        <w:autoSpaceDN w:val="0"/>
        <w:adjustRightInd w:val="0"/>
        <w:jc w:val="both"/>
        <w:rPr>
          <w:szCs w:val="20"/>
          <w:lang w:eastAsia="es-ES_tradnl"/>
        </w:rPr>
      </w:pPr>
    </w:p>
    <w:p w:rsidR="00AD578C" w:rsidRDefault="00AD578C" w:rsidP="00AD578C">
      <w:pPr>
        <w:widowControl w:val="0"/>
        <w:autoSpaceDE w:val="0"/>
        <w:autoSpaceDN w:val="0"/>
        <w:adjustRightInd w:val="0"/>
        <w:jc w:val="both"/>
        <w:rPr>
          <w:rFonts w:cs="Geneva"/>
          <w:b/>
          <w:i/>
          <w:color w:val="232323"/>
          <w:szCs w:val="26"/>
          <w:lang w:eastAsia="es-ES_tradnl"/>
        </w:rPr>
      </w:pPr>
      <w:r>
        <w:rPr>
          <w:rFonts w:cs="Geneva"/>
          <w:b/>
          <w:i/>
          <w:color w:val="232323"/>
          <w:szCs w:val="26"/>
          <w:lang w:eastAsia="es-ES_tradnl"/>
        </w:rPr>
        <w:t xml:space="preserve">1. 2 De la </w:t>
      </w:r>
      <w:r w:rsidRPr="00E16223">
        <w:rPr>
          <w:rFonts w:cs="Geneva"/>
          <w:b/>
          <w:i/>
          <w:color w:val="232323"/>
          <w:szCs w:val="26"/>
          <w:lang w:eastAsia="es-ES_tradnl"/>
        </w:rPr>
        <w:t xml:space="preserve">ética y </w:t>
      </w:r>
      <w:r>
        <w:rPr>
          <w:rFonts w:cs="Geneva"/>
          <w:b/>
          <w:i/>
          <w:color w:val="232323"/>
          <w:szCs w:val="26"/>
          <w:lang w:eastAsia="es-ES_tradnl"/>
        </w:rPr>
        <w:t xml:space="preserve">la </w:t>
      </w:r>
      <w:r w:rsidRPr="00E16223">
        <w:rPr>
          <w:rFonts w:cs="Geneva"/>
          <w:b/>
          <w:i/>
          <w:color w:val="232323"/>
          <w:szCs w:val="26"/>
          <w:lang w:eastAsia="es-ES_tradnl"/>
        </w:rPr>
        <w:t xml:space="preserve">moral </w:t>
      </w:r>
      <w:r>
        <w:rPr>
          <w:rFonts w:cs="Geneva"/>
          <w:b/>
          <w:i/>
          <w:color w:val="232323"/>
          <w:szCs w:val="26"/>
          <w:lang w:eastAsia="es-ES_tradnl"/>
        </w:rPr>
        <w:t>en pedagogía</w:t>
      </w:r>
    </w:p>
    <w:p w:rsidR="00AD578C" w:rsidRPr="00E16223" w:rsidRDefault="00AD578C" w:rsidP="00AD578C">
      <w:pPr>
        <w:widowControl w:val="0"/>
        <w:autoSpaceDE w:val="0"/>
        <w:autoSpaceDN w:val="0"/>
        <w:adjustRightInd w:val="0"/>
        <w:jc w:val="both"/>
        <w:rPr>
          <w:b/>
          <w:i/>
          <w:szCs w:val="20"/>
          <w:lang w:eastAsia="es-ES_tradnl"/>
        </w:rPr>
      </w:pPr>
    </w:p>
    <w:p w:rsidR="00AD578C" w:rsidRDefault="00AD578C" w:rsidP="00AD578C">
      <w:pPr>
        <w:widowControl w:val="0"/>
        <w:autoSpaceDE w:val="0"/>
        <w:autoSpaceDN w:val="0"/>
        <w:adjustRightInd w:val="0"/>
        <w:ind w:firstLine="708"/>
        <w:jc w:val="both"/>
        <w:rPr>
          <w:rFonts w:cs="Arial"/>
          <w:szCs w:val="26"/>
          <w:lang w:eastAsia="es-ES_tradnl"/>
        </w:rPr>
      </w:pPr>
      <w:r>
        <w:rPr>
          <w:rFonts w:cs="Arial"/>
          <w:szCs w:val="26"/>
          <w:lang w:eastAsia="es-ES_tradnl"/>
        </w:rPr>
        <w:t>En la actualidad e</w:t>
      </w:r>
      <w:r w:rsidRPr="0089204B">
        <w:rPr>
          <w:rFonts w:cs="Arial"/>
          <w:szCs w:val="26"/>
          <w:lang w:eastAsia="es-ES_tradnl"/>
        </w:rPr>
        <w:t>l debate educativo</w:t>
      </w:r>
      <w:r>
        <w:rPr>
          <w:rFonts w:cs="Arial"/>
          <w:szCs w:val="26"/>
          <w:lang w:eastAsia="es-ES_tradnl"/>
        </w:rPr>
        <w:t>,</w:t>
      </w:r>
      <w:r w:rsidRPr="0089204B">
        <w:rPr>
          <w:rFonts w:cs="Arial"/>
          <w:szCs w:val="26"/>
          <w:lang w:eastAsia="es-ES_tradnl"/>
        </w:rPr>
        <w:t xml:space="preserve"> a nivel mundial</w:t>
      </w:r>
      <w:r>
        <w:rPr>
          <w:rFonts w:cs="Arial"/>
          <w:szCs w:val="26"/>
          <w:lang w:eastAsia="es-ES_tradnl"/>
        </w:rPr>
        <w:t xml:space="preserve">, involucra tanto la </w:t>
      </w:r>
      <w:r w:rsidRPr="0089204B">
        <w:rPr>
          <w:rFonts w:cs="Arial"/>
          <w:szCs w:val="26"/>
          <w:lang w:eastAsia="es-ES_tradnl"/>
        </w:rPr>
        <w:t xml:space="preserve"> problemática </w:t>
      </w:r>
      <w:r>
        <w:rPr>
          <w:rFonts w:cs="Arial"/>
          <w:szCs w:val="26"/>
          <w:lang w:eastAsia="es-ES_tradnl"/>
        </w:rPr>
        <w:t>educativa, como las</w:t>
      </w:r>
      <w:r w:rsidRPr="0089204B">
        <w:rPr>
          <w:rFonts w:cs="Arial"/>
          <w:szCs w:val="26"/>
          <w:lang w:eastAsia="es-ES_tradnl"/>
        </w:rPr>
        <w:t xml:space="preserve"> tendencias</w:t>
      </w:r>
      <w:r>
        <w:rPr>
          <w:rFonts w:cs="Arial"/>
          <w:szCs w:val="26"/>
          <w:lang w:eastAsia="es-ES_tradnl"/>
        </w:rPr>
        <w:t xml:space="preserve"> actuales de las sociedades, y los </w:t>
      </w:r>
      <w:r w:rsidRPr="0089204B">
        <w:rPr>
          <w:rFonts w:cs="Arial"/>
          <w:szCs w:val="26"/>
          <w:lang w:eastAsia="es-ES_tradnl"/>
        </w:rPr>
        <w:t xml:space="preserve"> desafíos </w:t>
      </w:r>
      <w:r>
        <w:rPr>
          <w:rFonts w:cs="Arial"/>
          <w:szCs w:val="26"/>
          <w:lang w:eastAsia="es-ES_tradnl"/>
        </w:rPr>
        <w:t xml:space="preserve">que esta presenta </w:t>
      </w:r>
      <w:r w:rsidRPr="0089204B">
        <w:rPr>
          <w:rFonts w:cs="Arial"/>
          <w:szCs w:val="26"/>
          <w:lang w:eastAsia="es-ES_tradnl"/>
        </w:rPr>
        <w:t xml:space="preserve">para el Siglo XXI, </w:t>
      </w:r>
      <w:r>
        <w:rPr>
          <w:rFonts w:cs="Arial"/>
          <w:szCs w:val="26"/>
          <w:lang w:eastAsia="es-ES_tradnl"/>
        </w:rPr>
        <w:t>invitándonos a la reflexión</w:t>
      </w:r>
      <w:r w:rsidRPr="0089204B">
        <w:rPr>
          <w:rFonts w:cs="Arial"/>
          <w:szCs w:val="26"/>
          <w:lang w:eastAsia="es-ES_tradnl"/>
        </w:rPr>
        <w:t xml:space="preserve"> </w:t>
      </w:r>
      <w:r>
        <w:rPr>
          <w:rFonts w:cs="Arial"/>
          <w:szCs w:val="26"/>
          <w:lang w:eastAsia="es-ES_tradnl"/>
        </w:rPr>
        <w:t xml:space="preserve">respecto de </w:t>
      </w:r>
      <w:r w:rsidRPr="0089204B">
        <w:rPr>
          <w:rFonts w:cs="Arial"/>
          <w:szCs w:val="26"/>
          <w:lang w:eastAsia="es-ES_tradnl"/>
        </w:rPr>
        <w:t xml:space="preserve"> la clase de educación que los sistemas educativos están ofreciendo </w:t>
      </w:r>
      <w:r>
        <w:rPr>
          <w:rFonts w:cs="Arial"/>
          <w:szCs w:val="26"/>
          <w:lang w:eastAsia="es-ES_tradnl"/>
        </w:rPr>
        <w:t xml:space="preserve">hoy y aquella que realmente necesitamos </w:t>
      </w:r>
      <w:r w:rsidRPr="0089204B">
        <w:rPr>
          <w:rFonts w:cs="Arial"/>
          <w:szCs w:val="26"/>
          <w:lang w:eastAsia="es-ES_tradnl"/>
        </w:rPr>
        <w:t xml:space="preserve">para que el </w:t>
      </w:r>
      <w:r>
        <w:rPr>
          <w:rFonts w:cs="Arial"/>
          <w:szCs w:val="26"/>
          <w:lang w:eastAsia="es-ES_tradnl"/>
        </w:rPr>
        <w:t>ser humano</w:t>
      </w:r>
      <w:r w:rsidRPr="0089204B">
        <w:rPr>
          <w:rFonts w:cs="Arial"/>
          <w:szCs w:val="26"/>
          <w:lang w:eastAsia="es-ES_tradnl"/>
        </w:rPr>
        <w:t xml:space="preserve"> cambie sus expectativas de vida y dé paso a nuevas formas de entender el mundo</w:t>
      </w:r>
      <w:r>
        <w:rPr>
          <w:rFonts w:cs="Arial"/>
          <w:szCs w:val="26"/>
          <w:lang w:eastAsia="es-ES_tradnl"/>
        </w:rPr>
        <w:t>,</w:t>
      </w:r>
      <w:r w:rsidRPr="0089204B">
        <w:rPr>
          <w:rFonts w:cs="Arial"/>
          <w:szCs w:val="26"/>
          <w:lang w:eastAsia="es-ES_tradnl"/>
        </w:rPr>
        <w:t xml:space="preserve"> con responsabilidad, con conciencia s</w:t>
      </w:r>
      <w:r>
        <w:rPr>
          <w:rFonts w:cs="Arial"/>
          <w:szCs w:val="26"/>
          <w:lang w:eastAsia="es-ES_tradnl"/>
        </w:rPr>
        <w:t>ocial, con solidaridad</w:t>
      </w:r>
      <w:r w:rsidRPr="0089204B">
        <w:rPr>
          <w:rFonts w:cs="Arial"/>
          <w:szCs w:val="26"/>
          <w:lang w:eastAsia="es-ES_tradnl"/>
        </w:rPr>
        <w:t>, con re</w:t>
      </w:r>
      <w:r>
        <w:rPr>
          <w:rFonts w:cs="Arial"/>
          <w:szCs w:val="26"/>
          <w:lang w:eastAsia="es-ES_tradnl"/>
        </w:rPr>
        <w:t>speto al mundo de la naturaleza (lo que algunos denominan conciencia ecológica), y que promuevan</w:t>
      </w:r>
      <w:r w:rsidRPr="0089204B">
        <w:rPr>
          <w:rFonts w:cs="Arial"/>
          <w:szCs w:val="26"/>
          <w:lang w:eastAsia="es-ES_tradnl"/>
        </w:rPr>
        <w:t xml:space="preserve"> el desarrollo con valores compartidos para mejorar y enriquecer la vida de </w:t>
      </w:r>
      <w:r>
        <w:rPr>
          <w:rFonts w:cs="Arial"/>
          <w:szCs w:val="26"/>
          <w:lang w:eastAsia="es-ES_tradnl"/>
        </w:rPr>
        <w:t xml:space="preserve">todos </w:t>
      </w:r>
      <w:r w:rsidRPr="0089204B">
        <w:rPr>
          <w:rFonts w:cs="Arial"/>
          <w:szCs w:val="26"/>
          <w:lang w:eastAsia="es-ES_tradnl"/>
        </w:rPr>
        <w:t>los seres humanos.</w:t>
      </w:r>
    </w:p>
    <w:p w:rsidR="00AD578C" w:rsidRDefault="00AD578C" w:rsidP="00AD578C">
      <w:pPr>
        <w:widowControl w:val="0"/>
        <w:autoSpaceDE w:val="0"/>
        <w:autoSpaceDN w:val="0"/>
        <w:adjustRightInd w:val="0"/>
        <w:jc w:val="both"/>
        <w:rPr>
          <w:rFonts w:cs="Arial"/>
          <w:szCs w:val="26"/>
          <w:lang w:eastAsia="es-ES_tradnl"/>
        </w:rPr>
      </w:pPr>
    </w:p>
    <w:p w:rsidR="00AD578C" w:rsidRDefault="00AD578C" w:rsidP="00AD578C">
      <w:pPr>
        <w:widowControl w:val="0"/>
        <w:autoSpaceDE w:val="0"/>
        <w:autoSpaceDN w:val="0"/>
        <w:adjustRightInd w:val="0"/>
        <w:ind w:firstLine="708"/>
        <w:jc w:val="both"/>
        <w:rPr>
          <w:rFonts w:cs="Arial"/>
          <w:szCs w:val="26"/>
          <w:lang w:eastAsia="es-ES_tradnl"/>
        </w:rPr>
      </w:pPr>
      <w:r>
        <w:rPr>
          <w:rFonts w:cs="Arial"/>
          <w:szCs w:val="26"/>
          <w:lang w:eastAsia="es-ES_tradnl"/>
        </w:rPr>
        <w:t xml:space="preserve">Asumiendo, como lo señalan Cortina y </w:t>
      </w:r>
      <w:proofErr w:type="spellStart"/>
      <w:r>
        <w:rPr>
          <w:rFonts w:cs="Arial"/>
          <w:szCs w:val="26"/>
          <w:lang w:eastAsia="es-ES_tradnl"/>
        </w:rPr>
        <w:t>Conill</w:t>
      </w:r>
      <w:proofErr w:type="spellEnd"/>
      <w:r>
        <w:rPr>
          <w:rFonts w:cs="Arial"/>
          <w:szCs w:val="26"/>
          <w:lang w:eastAsia="es-ES_tradnl"/>
        </w:rPr>
        <w:t xml:space="preserve"> (1998),</w:t>
      </w:r>
      <w:r w:rsidRPr="006B5E4C">
        <w:rPr>
          <w:rFonts w:cs="Arial"/>
          <w:szCs w:val="26"/>
          <w:lang w:eastAsia="es-ES_tradnl"/>
        </w:rPr>
        <w:t xml:space="preserve"> que los problemas que existen </w:t>
      </w:r>
      <w:r>
        <w:rPr>
          <w:rFonts w:cs="Arial"/>
          <w:szCs w:val="26"/>
          <w:lang w:eastAsia="es-ES_tradnl"/>
        </w:rPr>
        <w:t xml:space="preserve">en el mundo </w:t>
      </w:r>
      <w:r w:rsidRPr="006B5E4C">
        <w:rPr>
          <w:rFonts w:cs="Arial"/>
          <w:szCs w:val="26"/>
          <w:lang w:eastAsia="es-ES_tradnl"/>
        </w:rPr>
        <w:t xml:space="preserve">son </w:t>
      </w:r>
      <w:r>
        <w:rPr>
          <w:rFonts w:cs="Arial"/>
          <w:szCs w:val="26"/>
          <w:lang w:eastAsia="es-ES_tradnl"/>
        </w:rPr>
        <w:t>nuestros problemas,</w:t>
      </w:r>
      <w:r w:rsidRPr="006B5E4C">
        <w:rPr>
          <w:rFonts w:cs="Arial"/>
          <w:szCs w:val="26"/>
          <w:lang w:eastAsia="es-ES_tradnl"/>
        </w:rPr>
        <w:t xml:space="preserve"> y </w:t>
      </w:r>
      <w:r>
        <w:rPr>
          <w:rFonts w:cs="Arial"/>
          <w:szCs w:val="26"/>
          <w:lang w:eastAsia="es-ES_tradnl"/>
        </w:rPr>
        <w:t xml:space="preserve">por ende, </w:t>
      </w:r>
      <w:r w:rsidRPr="006B5E4C">
        <w:rPr>
          <w:rFonts w:cs="Arial"/>
          <w:szCs w:val="26"/>
          <w:lang w:eastAsia="es-ES_tradnl"/>
        </w:rPr>
        <w:t>no</w:t>
      </w:r>
      <w:r>
        <w:rPr>
          <w:rFonts w:cs="Arial"/>
          <w:szCs w:val="26"/>
          <w:lang w:eastAsia="es-ES_tradnl"/>
        </w:rPr>
        <w:t>sotros somos los protagonistas de éstos, y por tanto,</w:t>
      </w:r>
      <w:r w:rsidRPr="006B5E4C">
        <w:rPr>
          <w:rFonts w:cs="Arial"/>
          <w:szCs w:val="26"/>
          <w:lang w:eastAsia="es-ES_tradnl"/>
        </w:rPr>
        <w:t xml:space="preserve"> las respuestas y soluciones a éstos </w:t>
      </w:r>
      <w:r>
        <w:rPr>
          <w:rFonts w:cs="Arial"/>
          <w:szCs w:val="26"/>
          <w:lang w:eastAsia="es-ES_tradnl"/>
        </w:rPr>
        <w:t xml:space="preserve">problemas </w:t>
      </w:r>
      <w:r w:rsidRPr="006B5E4C">
        <w:rPr>
          <w:rFonts w:cs="Arial"/>
          <w:szCs w:val="26"/>
          <w:lang w:eastAsia="es-ES_tradnl"/>
        </w:rPr>
        <w:t xml:space="preserve">pueden </w:t>
      </w:r>
      <w:r>
        <w:rPr>
          <w:rFonts w:cs="Arial"/>
          <w:szCs w:val="26"/>
          <w:lang w:eastAsia="es-ES_tradnl"/>
        </w:rPr>
        <w:t xml:space="preserve">y deben </w:t>
      </w:r>
      <w:r w:rsidRPr="006B5E4C">
        <w:rPr>
          <w:rFonts w:cs="Arial"/>
          <w:szCs w:val="26"/>
          <w:lang w:eastAsia="es-ES_tradnl"/>
        </w:rPr>
        <w:t xml:space="preserve">generarse </w:t>
      </w:r>
      <w:r>
        <w:rPr>
          <w:rFonts w:cs="Arial"/>
          <w:szCs w:val="26"/>
          <w:lang w:eastAsia="es-ES_tradnl"/>
        </w:rPr>
        <w:t>educando al ser humano</w:t>
      </w:r>
      <w:r w:rsidRPr="006B5E4C">
        <w:rPr>
          <w:rFonts w:cs="Arial"/>
          <w:szCs w:val="26"/>
          <w:lang w:eastAsia="es-ES_tradnl"/>
        </w:rPr>
        <w:t xml:space="preserve"> con valores desde la escuela</w:t>
      </w:r>
      <w:r>
        <w:rPr>
          <w:rFonts w:cs="Arial"/>
          <w:szCs w:val="26"/>
          <w:lang w:eastAsia="es-ES_tradnl"/>
        </w:rPr>
        <w:t xml:space="preserve"> y apuntando a la construcción de personas con una ética cívica, vale decir, personas con un alto grado de convicción  y responsabilidad</w:t>
      </w:r>
      <w:r w:rsidRPr="006B5E4C">
        <w:rPr>
          <w:rFonts w:cs="Arial"/>
          <w:szCs w:val="26"/>
          <w:lang w:eastAsia="es-ES_tradnl"/>
        </w:rPr>
        <w:t>.</w:t>
      </w:r>
    </w:p>
    <w:p w:rsidR="00AD578C" w:rsidRDefault="00AD578C" w:rsidP="00AD578C">
      <w:pPr>
        <w:widowControl w:val="0"/>
        <w:autoSpaceDE w:val="0"/>
        <w:autoSpaceDN w:val="0"/>
        <w:adjustRightInd w:val="0"/>
        <w:ind w:firstLine="708"/>
        <w:jc w:val="both"/>
        <w:rPr>
          <w:rFonts w:cs="Arial"/>
          <w:szCs w:val="26"/>
          <w:lang w:eastAsia="es-ES_tradnl"/>
        </w:rPr>
      </w:pPr>
    </w:p>
    <w:p w:rsidR="00AD578C" w:rsidRDefault="00AD578C" w:rsidP="00AD578C">
      <w:pPr>
        <w:widowControl w:val="0"/>
        <w:autoSpaceDE w:val="0"/>
        <w:autoSpaceDN w:val="0"/>
        <w:adjustRightInd w:val="0"/>
        <w:ind w:firstLine="708"/>
        <w:jc w:val="both"/>
        <w:rPr>
          <w:rFonts w:cs="Arial"/>
          <w:szCs w:val="26"/>
          <w:lang w:eastAsia="es-ES_tradnl"/>
        </w:rPr>
      </w:pPr>
      <w:r w:rsidRPr="006B5E4C">
        <w:rPr>
          <w:rFonts w:cs="Arial"/>
          <w:szCs w:val="26"/>
          <w:lang w:eastAsia="es-ES_tradnl"/>
        </w:rPr>
        <w:t xml:space="preserve"> </w:t>
      </w:r>
      <w:r>
        <w:rPr>
          <w:rFonts w:cs="Arial"/>
          <w:szCs w:val="26"/>
          <w:lang w:eastAsia="es-ES_tradnl"/>
        </w:rPr>
        <w:t>En ese sentido, entonces, la</w:t>
      </w:r>
      <w:r w:rsidRPr="006B5E4C">
        <w:rPr>
          <w:rFonts w:cs="Arial"/>
          <w:szCs w:val="26"/>
          <w:lang w:eastAsia="es-ES_tradnl"/>
        </w:rPr>
        <w:t xml:space="preserve"> ética </w:t>
      </w:r>
      <w:r>
        <w:rPr>
          <w:rFonts w:cs="Arial"/>
          <w:szCs w:val="26"/>
          <w:lang w:eastAsia="es-ES_tradnl"/>
        </w:rPr>
        <w:t>debiese transformar y revitalizar</w:t>
      </w:r>
      <w:r w:rsidRPr="006B5E4C">
        <w:rPr>
          <w:rFonts w:cs="Arial"/>
          <w:szCs w:val="26"/>
          <w:lang w:eastAsia="es-ES_tradnl"/>
        </w:rPr>
        <w:t xml:space="preserve"> las instituciones, </w:t>
      </w:r>
      <w:r>
        <w:rPr>
          <w:rFonts w:cs="Arial"/>
          <w:szCs w:val="26"/>
          <w:lang w:eastAsia="es-ES_tradnl"/>
        </w:rPr>
        <w:t>abarcando</w:t>
      </w:r>
      <w:r w:rsidRPr="006B5E4C">
        <w:rPr>
          <w:rFonts w:cs="Arial"/>
          <w:szCs w:val="26"/>
          <w:lang w:eastAsia="es-ES_tradnl"/>
        </w:rPr>
        <w:t xml:space="preserve"> la vida </w:t>
      </w:r>
      <w:r>
        <w:rPr>
          <w:rFonts w:cs="Arial"/>
          <w:szCs w:val="26"/>
          <w:lang w:eastAsia="es-ES_tradnl"/>
        </w:rPr>
        <w:t>del ser humano</w:t>
      </w:r>
      <w:r w:rsidRPr="006B5E4C">
        <w:rPr>
          <w:rFonts w:cs="Arial"/>
          <w:szCs w:val="26"/>
          <w:lang w:eastAsia="es-ES_tradnl"/>
        </w:rPr>
        <w:t xml:space="preserve"> en su co</w:t>
      </w:r>
      <w:r>
        <w:rPr>
          <w:rFonts w:cs="Arial"/>
          <w:szCs w:val="26"/>
          <w:lang w:eastAsia="es-ES_tradnl"/>
        </w:rPr>
        <w:t>ntexto global, familia, escuela y</w:t>
      </w:r>
      <w:r w:rsidRPr="006B5E4C">
        <w:rPr>
          <w:rFonts w:cs="Arial"/>
          <w:szCs w:val="26"/>
          <w:lang w:eastAsia="es-ES_tradnl"/>
        </w:rPr>
        <w:t xml:space="preserve"> sociedad. </w:t>
      </w:r>
      <w:r>
        <w:rPr>
          <w:rFonts w:cs="Arial"/>
          <w:szCs w:val="26"/>
          <w:lang w:eastAsia="es-ES_tradnl"/>
        </w:rPr>
        <w:t xml:space="preserve">Involucrándose en </w:t>
      </w:r>
      <w:r w:rsidRPr="006B5E4C">
        <w:rPr>
          <w:rFonts w:cs="Arial"/>
          <w:szCs w:val="26"/>
          <w:lang w:eastAsia="es-ES_tradnl"/>
        </w:rPr>
        <w:t xml:space="preserve"> la formación de la conciencia de la</w:t>
      </w:r>
      <w:r>
        <w:rPr>
          <w:rFonts w:cs="Arial"/>
          <w:szCs w:val="26"/>
          <w:lang w:eastAsia="es-ES_tradnl"/>
        </w:rPr>
        <w:t>s</w:t>
      </w:r>
      <w:r w:rsidRPr="006B5E4C">
        <w:rPr>
          <w:rFonts w:cs="Arial"/>
          <w:szCs w:val="26"/>
          <w:lang w:eastAsia="es-ES_tradnl"/>
        </w:rPr>
        <w:t xml:space="preserve"> persona</w:t>
      </w:r>
      <w:r>
        <w:rPr>
          <w:rFonts w:cs="Arial"/>
          <w:szCs w:val="26"/>
          <w:lang w:eastAsia="es-ES_tradnl"/>
        </w:rPr>
        <w:t>s</w:t>
      </w:r>
      <w:r w:rsidRPr="006B5E4C">
        <w:rPr>
          <w:rFonts w:cs="Arial"/>
          <w:szCs w:val="26"/>
          <w:lang w:eastAsia="es-ES_tradnl"/>
        </w:rPr>
        <w:t xml:space="preserve">, </w:t>
      </w:r>
      <w:r>
        <w:rPr>
          <w:rFonts w:cs="Arial"/>
          <w:szCs w:val="26"/>
          <w:lang w:eastAsia="es-ES_tradnl"/>
        </w:rPr>
        <w:t xml:space="preserve"> estableciéndose como una</w:t>
      </w:r>
      <w:r w:rsidRPr="006B5E4C">
        <w:rPr>
          <w:rFonts w:cs="Arial"/>
          <w:szCs w:val="26"/>
          <w:lang w:eastAsia="es-ES_tradnl"/>
        </w:rPr>
        <w:t xml:space="preserve"> educación comprometida con la formación responsable del </w:t>
      </w:r>
      <w:r>
        <w:rPr>
          <w:rFonts w:cs="Arial"/>
          <w:szCs w:val="26"/>
          <w:lang w:eastAsia="es-ES_tradnl"/>
        </w:rPr>
        <w:t>ser humano</w:t>
      </w:r>
      <w:r w:rsidRPr="006B5E4C">
        <w:rPr>
          <w:rFonts w:cs="Arial"/>
          <w:szCs w:val="26"/>
          <w:lang w:eastAsia="es-ES_tradnl"/>
        </w:rPr>
        <w:t xml:space="preserve"> con innovación, con creatividad, c</w:t>
      </w:r>
      <w:r>
        <w:rPr>
          <w:rFonts w:cs="Arial"/>
          <w:szCs w:val="26"/>
          <w:lang w:eastAsia="es-ES_tradnl"/>
        </w:rPr>
        <w:t xml:space="preserve">on generosidad, con solidaridad. </w:t>
      </w:r>
    </w:p>
    <w:p w:rsidR="00AD578C" w:rsidRPr="00F25014" w:rsidRDefault="00AD578C" w:rsidP="00AD578C">
      <w:pPr>
        <w:widowControl w:val="0"/>
        <w:autoSpaceDE w:val="0"/>
        <w:autoSpaceDN w:val="0"/>
        <w:adjustRightInd w:val="0"/>
        <w:jc w:val="both"/>
        <w:rPr>
          <w:rFonts w:cs="Arial"/>
          <w:sz w:val="20"/>
          <w:szCs w:val="26"/>
          <w:lang w:eastAsia="es-ES_tradnl"/>
        </w:rPr>
      </w:pPr>
    </w:p>
    <w:p w:rsidR="00AD578C" w:rsidRPr="00F25014" w:rsidRDefault="00AD578C" w:rsidP="00AD578C">
      <w:pPr>
        <w:widowControl w:val="0"/>
        <w:autoSpaceDE w:val="0"/>
        <w:autoSpaceDN w:val="0"/>
        <w:adjustRightInd w:val="0"/>
        <w:jc w:val="both"/>
        <w:rPr>
          <w:rFonts w:cs="Arial"/>
          <w:sz w:val="20"/>
          <w:szCs w:val="26"/>
          <w:lang w:eastAsia="es-ES_tradnl"/>
        </w:rPr>
      </w:pPr>
      <w:r w:rsidRPr="00F25014">
        <w:rPr>
          <w:rFonts w:cs="Arial"/>
          <w:sz w:val="20"/>
          <w:szCs w:val="26"/>
          <w:lang w:eastAsia="es-ES_tradnl"/>
        </w:rPr>
        <w:t xml:space="preserve">(Para complementar la reflexión ver Documental: </w:t>
      </w:r>
      <w:r w:rsidRPr="00F25014">
        <w:rPr>
          <w:rFonts w:cs="Arial"/>
          <w:b/>
          <w:i/>
          <w:sz w:val="20"/>
          <w:szCs w:val="26"/>
          <w:lang w:eastAsia="es-ES_tradnl"/>
        </w:rPr>
        <w:t>“La educación prohibida”.</w:t>
      </w:r>
      <w:r w:rsidRPr="00F25014">
        <w:rPr>
          <w:rFonts w:cs="Arial"/>
          <w:sz w:val="20"/>
          <w:szCs w:val="26"/>
          <w:lang w:eastAsia="es-ES_tradnl"/>
        </w:rPr>
        <w:t xml:space="preserve"> Página </w:t>
      </w:r>
      <w:proofErr w:type="spellStart"/>
      <w:r w:rsidRPr="00F25014">
        <w:rPr>
          <w:rFonts w:cs="Arial"/>
          <w:sz w:val="20"/>
          <w:szCs w:val="26"/>
          <w:lang w:eastAsia="es-ES_tradnl"/>
        </w:rPr>
        <w:t>web</w:t>
      </w:r>
      <w:proofErr w:type="spellEnd"/>
      <w:r w:rsidRPr="00F25014">
        <w:rPr>
          <w:rFonts w:cs="Arial"/>
          <w:sz w:val="20"/>
          <w:szCs w:val="26"/>
          <w:lang w:eastAsia="es-ES_tradnl"/>
        </w:rPr>
        <w:t xml:space="preserve">: “Educar es transformar”. Link: </w:t>
      </w:r>
      <w:hyperlink r:id="rId11" w:history="1">
        <w:r w:rsidRPr="00F25014">
          <w:rPr>
            <w:rStyle w:val="Hipervnculo"/>
            <w:rFonts w:cs="Arial"/>
            <w:sz w:val="20"/>
            <w:szCs w:val="26"/>
            <w:lang w:eastAsia="es-ES_tradnl"/>
          </w:rPr>
          <w:t>http://kazolas.wix.com/educaytransforma</w:t>
        </w:r>
      </w:hyperlink>
      <w:r w:rsidRPr="00F25014">
        <w:rPr>
          <w:rFonts w:cs="Arial"/>
          <w:sz w:val="20"/>
          <w:szCs w:val="26"/>
          <w:lang w:eastAsia="es-ES_tradnl"/>
        </w:rPr>
        <w:t xml:space="preserve">) </w:t>
      </w:r>
    </w:p>
    <w:p w:rsidR="00AD578C" w:rsidRPr="006B5E4C" w:rsidRDefault="00AD578C" w:rsidP="00AD578C">
      <w:pPr>
        <w:widowControl w:val="0"/>
        <w:autoSpaceDE w:val="0"/>
        <w:autoSpaceDN w:val="0"/>
        <w:adjustRightInd w:val="0"/>
        <w:ind w:firstLine="708"/>
        <w:jc w:val="both"/>
        <w:rPr>
          <w:rFonts w:cs="Geneva"/>
          <w:szCs w:val="26"/>
          <w:lang w:eastAsia="es-ES_tradnl"/>
        </w:rPr>
      </w:pPr>
    </w:p>
    <w:p w:rsidR="00AD578C" w:rsidRPr="006B5E4C" w:rsidRDefault="00AD578C" w:rsidP="00AD578C">
      <w:pPr>
        <w:widowControl w:val="0"/>
        <w:autoSpaceDE w:val="0"/>
        <w:autoSpaceDN w:val="0"/>
        <w:adjustRightInd w:val="0"/>
        <w:spacing w:after="260"/>
        <w:ind w:firstLine="708"/>
        <w:jc w:val="both"/>
        <w:rPr>
          <w:rFonts w:cs="Arial"/>
          <w:szCs w:val="26"/>
          <w:lang w:eastAsia="es-ES_tradnl"/>
        </w:rPr>
      </w:pPr>
      <w:r>
        <w:rPr>
          <w:rFonts w:cs="Arial"/>
          <w:szCs w:val="26"/>
          <w:lang w:eastAsia="es-ES_tradnl"/>
        </w:rPr>
        <w:t>Es aquí donde l</w:t>
      </w:r>
      <w:r w:rsidRPr="006B5E4C">
        <w:rPr>
          <w:rFonts w:cs="Arial"/>
          <w:szCs w:val="26"/>
          <w:lang w:eastAsia="es-ES_tradnl"/>
        </w:rPr>
        <w:t xml:space="preserve">a gestión educativa </w:t>
      </w:r>
      <w:r>
        <w:rPr>
          <w:rFonts w:cs="Arial"/>
          <w:szCs w:val="26"/>
          <w:lang w:eastAsia="es-ES_tradnl"/>
        </w:rPr>
        <w:t>cumple</w:t>
      </w:r>
      <w:r w:rsidRPr="006B5E4C">
        <w:rPr>
          <w:rFonts w:cs="Arial"/>
          <w:szCs w:val="26"/>
          <w:lang w:eastAsia="es-ES_tradnl"/>
        </w:rPr>
        <w:t xml:space="preserve"> con </w:t>
      </w:r>
      <w:r>
        <w:rPr>
          <w:rFonts w:cs="Arial"/>
          <w:szCs w:val="26"/>
          <w:lang w:eastAsia="es-ES_tradnl"/>
        </w:rPr>
        <w:t xml:space="preserve">un rol esencial desde </w:t>
      </w:r>
      <w:r w:rsidRPr="006B5E4C">
        <w:rPr>
          <w:rFonts w:cs="Arial"/>
          <w:szCs w:val="26"/>
          <w:lang w:eastAsia="es-ES_tradnl"/>
        </w:rPr>
        <w:t>su función o</w:t>
      </w:r>
      <w:r>
        <w:rPr>
          <w:rFonts w:cs="Arial"/>
          <w:szCs w:val="26"/>
          <w:lang w:eastAsia="es-ES_tradnl"/>
        </w:rPr>
        <w:t>rientadora y transformadora de</w:t>
      </w:r>
      <w:r w:rsidRPr="006B5E4C">
        <w:rPr>
          <w:rFonts w:cs="Arial"/>
          <w:szCs w:val="26"/>
          <w:lang w:eastAsia="es-ES_tradnl"/>
        </w:rPr>
        <w:t>l proceso educativo</w:t>
      </w:r>
      <w:r>
        <w:rPr>
          <w:rFonts w:cs="Arial"/>
          <w:szCs w:val="26"/>
          <w:lang w:eastAsia="es-ES_tradnl"/>
        </w:rPr>
        <w:t xml:space="preserve">, como un </w:t>
      </w:r>
      <w:r w:rsidRPr="006B5E4C">
        <w:rPr>
          <w:rFonts w:cs="Arial"/>
          <w:szCs w:val="26"/>
          <w:lang w:eastAsia="es-ES_tradnl"/>
        </w:rPr>
        <w:t xml:space="preserve"> </w:t>
      </w:r>
      <w:r>
        <w:rPr>
          <w:rFonts w:cs="Arial"/>
          <w:szCs w:val="26"/>
          <w:lang w:eastAsia="es-ES_tradnl"/>
        </w:rPr>
        <w:t>proceso coherente, armonizado y fundamentado en valores, promoviendo</w:t>
      </w:r>
      <w:r w:rsidRPr="006B5E4C">
        <w:rPr>
          <w:rFonts w:cs="Arial"/>
          <w:szCs w:val="26"/>
          <w:lang w:eastAsia="es-ES_tradnl"/>
        </w:rPr>
        <w:t xml:space="preserve"> la transformación y desarrollo de las inquietudes humanas </w:t>
      </w:r>
      <w:r>
        <w:rPr>
          <w:rFonts w:cs="Arial"/>
          <w:szCs w:val="26"/>
          <w:lang w:eastAsia="es-ES_tradnl"/>
        </w:rPr>
        <w:t>develando</w:t>
      </w:r>
      <w:r w:rsidRPr="006B5E4C">
        <w:rPr>
          <w:rFonts w:cs="Arial"/>
          <w:szCs w:val="26"/>
          <w:lang w:eastAsia="es-ES_tradnl"/>
        </w:rPr>
        <w:t xml:space="preserve"> la relación </w:t>
      </w:r>
      <w:r>
        <w:rPr>
          <w:rFonts w:cs="Arial"/>
          <w:szCs w:val="26"/>
          <w:lang w:eastAsia="es-ES_tradnl"/>
        </w:rPr>
        <w:t xml:space="preserve">intrínseca </w:t>
      </w:r>
      <w:r w:rsidRPr="006B5E4C">
        <w:rPr>
          <w:rFonts w:cs="Arial"/>
          <w:szCs w:val="26"/>
          <w:lang w:eastAsia="es-ES_tradnl"/>
        </w:rPr>
        <w:t>de la ética con la educación para la transformación pr</w:t>
      </w:r>
      <w:r>
        <w:rPr>
          <w:rFonts w:cs="Arial"/>
          <w:szCs w:val="26"/>
          <w:lang w:eastAsia="es-ES_tradnl"/>
        </w:rPr>
        <w:t>ogresiva de la visión del mundo</w:t>
      </w:r>
      <w:r w:rsidRPr="006B5E4C">
        <w:rPr>
          <w:rFonts w:cs="Arial"/>
          <w:szCs w:val="26"/>
          <w:lang w:eastAsia="es-ES_tradnl"/>
        </w:rPr>
        <w:t xml:space="preserve"> y de nuestra conciencia, </w:t>
      </w:r>
      <w:r>
        <w:rPr>
          <w:rFonts w:cs="Arial"/>
          <w:szCs w:val="26"/>
          <w:lang w:eastAsia="es-ES_tradnl"/>
        </w:rPr>
        <w:t>buscando</w:t>
      </w:r>
      <w:r w:rsidRPr="006B5E4C">
        <w:rPr>
          <w:rFonts w:cs="Arial"/>
          <w:szCs w:val="26"/>
          <w:lang w:eastAsia="es-ES_tradnl"/>
        </w:rPr>
        <w:t xml:space="preserve"> nuevos horizontes </w:t>
      </w:r>
      <w:r>
        <w:rPr>
          <w:rFonts w:cs="Arial"/>
          <w:szCs w:val="26"/>
          <w:lang w:eastAsia="es-ES_tradnl"/>
        </w:rPr>
        <w:t xml:space="preserve">que caminen hacia la formación de un </w:t>
      </w:r>
      <w:r w:rsidRPr="006B5E4C">
        <w:rPr>
          <w:rFonts w:cs="Arial"/>
          <w:szCs w:val="26"/>
          <w:lang w:eastAsia="es-ES_tradnl"/>
        </w:rPr>
        <w:t xml:space="preserve"> </w:t>
      </w:r>
      <w:r>
        <w:rPr>
          <w:rFonts w:cs="Arial"/>
          <w:szCs w:val="26"/>
          <w:lang w:eastAsia="es-ES_tradnl"/>
        </w:rPr>
        <w:t>ser humano</w:t>
      </w:r>
      <w:r w:rsidRPr="006B5E4C">
        <w:rPr>
          <w:rFonts w:cs="Arial"/>
          <w:szCs w:val="26"/>
          <w:lang w:eastAsia="es-ES_tradnl"/>
        </w:rPr>
        <w:t xml:space="preserve"> integral guiado por valor</w:t>
      </w:r>
      <w:r>
        <w:rPr>
          <w:rFonts w:cs="Arial"/>
          <w:szCs w:val="26"/>
          <w:lang w:eastAsia="es-ES_tradnl"/>
        </w:rPr>
        <w:t xml:space="preserve">es éticos, que sea </w:t>
      </w:r>
      <w:r w:rsidRPr="006B5E4C">
        <w:rPr>
          <w:rFonts w:cs="Arial"/>
          <w:szCs w:val="26"/>
          <w:lang w:eastAsia="es-ES_tradnl"/>
        </w:rPr>
        <w:t>coherente consigo mismo y con la sociedad</w:t>
      </w:r>
      <w:r>
        <w:rPr>
          <w:rFonts w:cs="Arial"/>
          <w:szCs w:val="26"/>
          <w:lang w:eastAsia="es-ES_tradnl"/>
        </w:rPr>
        <w:t xml:space="preserve"> en la cual se encuentra inserto</w:t>
      </w:r>
      <w:r w:rsidRPr="006B5E4C">
        <w:rPr>
          <w:rFonts w:cs="Arial"/>
          <w:szCs w:val="26"/>
          <w:lang w:eastAsia="es-ES_tradnl"/>
        </w:rPr>
        <w:t>.</w:t>
      </w:r>
    </w:p>
    <w:p w:rsidR="00AD578C" w:rsidRPr="006B5E4C" w:rsidRDefault="00AD578C" w:rsidP="00AD578C">
      <w:pPr>
        <w:widowControl w:val="0"/>
        <w:autoSpaceDE w:val="0"/>
        <w:autoSpaceDN w:val="0"/>
        <w:adjustRightInd w:val="0"/>
        <w:spacing w:after="260"/>
        <w:ind w:firstLine="708"/>
        <w:jc w:val="both"/>
        <w:rPr>
          <w:rFonts w:cs="Arial"/>
          <w:szCs w:val="26"/>
          <w:lang w:eastAsia="es-ES_tradnl"/>
        </w:rPr>
      </w:pPr>
      <w:r>
        <w:rPr>
          <w:rFonts w:cs="Arial"/>
          <w:szCs w:val="26"/>
          <w:lang w:eastAsia="es-ES_tradnl"/>
        </w:rPr>
        <w:t>Desde esta perspectiva observamos la educación como</w:t>
      </w:r>
      <w:r w:rsidRPr="006B5E4C">
        <w:rPr>
          <w:rFonts w:cs="Arial"/>
          <w:szCs w:val="26"/>
          <w:lang w:eastAsia="es-ES_tradnl"/>
        </w:rPr>
        <w:t xml:space="preserve"> un pr</w:t>
      </w:r>
      <w:r>
        <w:rPr>
          <w:rFonts w:cs="Arial"/>
          <w:szCs w:val="26"/>
          <w:lang w:eastAsia="es-ES_tradnl"/>
        </w:rPr>
        <w:t>oceso dinámico, que necesariamente debe tener</w:t>
      </w:r>
      <w:r w:rsidRPr="006B5E4C">
        <w:rPr>
          <w:rFonts w:cs="Arial"/>
          <w:szCs w:val="26"/>
          <w:lang w:eastAsia="es-ES_tradnl"/>
        </w:rPr>
        <w:t xml:space="preserve"> características </w:t>
      </w:r>
      <w:r>
        <w:rPr>
          <w:rFonts w:cs="Arial"/>
          <w:szCs w:val="26"/>
          <w:lang w:eastAsia="es-ES_tradnl"/>
        </w:rPr>
        <w:t xml:space="preserve">contextualizadas </w:t>
      </w:r>
      <w:r w:rsidRPr="006B5E4C">
        <w:rPr>
          <w:rFonts w:cs="Arial"/>
          <w:szCs w:val="26"/>
          <w:lang w:eastAsia="es-ES_tradnl"/>
        </w:rPr>
        <w:t xml:space="preserve">para todas las épocas, espacios e individuos. </w:t>
      </w:r>
      <w:r>
        <w:rPr>
          <w:rFonts w:cs="Arial"/>
          <w:szCs w:val="26"/>
          <w:lang w:eastAsia="es-ES_tradnl"/>
        </w:rPr>
        <w:t>Y cuyos aspectos y contenidos constantes  están determinados por el producto social y una postura ideológica concreta dentro de la sociedad. Reafirmando esta necesaria relación entre la educación y la ética, pero desde una perspectiva humanizadora, que apunta a un aprendizaje contextualizado que responde a la realidad mundial, que potencia el desarrollo de un pensamiento solucionador y crítico y  que impulsa a la mejora de nuestras condiciones de vida y por ende de nuestra sociedad.  Contraponiéndose de esta manera, a la visión tradicional que se tiene de la educación, y que aún conservamos en nuestros sistemas educativos,  como</w:t>
      </w:r>
      <w:r w:rsidRPr="006B5E4C">
        <w:rPr>
          <w:rFonts w:cs="Arial"/>
          <w:szCs w:val="26"/>
          <w:lang w:eastAsia="es-ES_tradnl"/>
        </w:rPr>
        <w:t xml:space="preserve"> uno de los instrumentos que la sociedad ha creado para transmitir, reproducir y proteger sus inter</w:t>
      </w:r>
      <w:r>
        <w:rPr>
          <w:rFonts w:cs="Arial"/>
          <w:szCs w:val="26"/>
          <w:lang w:eastAsia="es-ES_tradnl"/>
        </w:rPr>
        <w:t xml:space="preserve">eses (sociedad capitalista). Donde </w:t>
      </w:r>
      <w:r w:rsidRPr="006B5E4C">
        <w:rPr>
          <w:rFonts w:cs="Arial"/>
          <w:szCs w:val="26"/>
          <w:lang w:eastAsia="es-ES_tradnl"/>
        </w:rPr>
        <w:t xml:space="preserve">educación y moral se vinculan </w:t>
      </w:r>
      <w:r>
        <w:rPr>
          <w:rFonts w:cs="Arial"/>
          <w:szCs w:val="26"/>
          <w:lang w:eastAsia="es-ES_tradnl"/>
        </w:rPr>
        <w:t>desde la utilización que hace la moral de</w:t>
      </w:r>
      <w:r w:rsidRPr="006B5E4C">
        <w:rPr>
          <w:rFonts w:cs="Arial"/>
          <w:szCs w:val="26"/>
          <w:lang w:eastAsia="es-ES_tradnl"/>
        </w:rPr>
        <w:t xml:space="preserve"> la educ</w:t>
      </w:r>
      <w:r>
        <w:rPr>
          <w:rFonts w:cs="Arial"/>
          <w:szCs w:val="26"/>
          <w:lang w:eastAsia="es-ES_tradnl"/>
        </w:rPr>
        <w:t xml:space="preserve">ación para conseguir sus fines e inculcar </w:t>
      </w:r>
      <w:r w:rsidRPr="006B5E4C">
        <w:rPr>
          <w:rFonts w:cs="Arial"/>
          <w:szCs w:val="26"/>
          <w:lang w:eastAsia="es-ES_tradnl"/>
        </w:rPr>
        <w:t>sus valores.</w:t>
      </w:r>
    </w:p>
    <w:p w:rsidR="00AD578C" w:rsidRPr="006B5E4C" w:rsidRDefault="00AD578C" w:rsidP="00AD578C">
      <w:pPr>
        <w:widowControl w:val="0"/>
        <w:autoSpaceDE w:val="0"/>
        <w:autoSpaceDN w:val="0"/>
        <w:adjustRightInd w:val="0"/>
        <w:spacing w:after="260"/>
        <w:ind w:firstLine="708"/>
        <w:jc w:val="both"/>
        <w:rPr>
          <w:rFonts w:cs="Arial"/>
          <w:szCs w:val="26"/>
          <w:lang w:eastAsia="es-ES_tradnl"/>
        </w:rPr>
      </w:pPr>
      <w:r>
        <w:rPr>
          <w:rFonts w:cs="Arial"/>
          <w:szCs w:val="26"/>
          <w:lang w:eastAsia="es-ES_tradnl"/>
        </w:rPr>
        <w:t xml:space="preserve">Si entendemos la escuela como una opción de valores y </w:t>
      </w:r>
      <w:r w:rsidRPr="006B5E4C">
        <w:rPr>
          <w:rFonts w:cs="Arial"/>
          <w:szCs w:val="26"/>
          <w:lang w:eastAsia="es-ES_tradnl"/>
        </w:rPr>
        <w:t xml:space="preserve">compromiso </w:t>
      </w:r>
      <w:r>
        <w:rPr>
          <w:rFonts w:cs="Arial"/>
          <w:szCs w:val="26"/>
          <w:lang w:eastAsia="es-ES_tradnl"/>
        </w:rPr>
        <w:t xml:space="preserve">ideológico, debiésemos también entender la necesidad que surge de ésta y que  </w:t>
      </w:r>
      <w:r w:rsidRPr="006B5E4C">
        <w:rPr>
          <w:rFonts w:cs="Arial"/>
          <w:szCs w:val="26"/>
          <w:lang w:eastAsia="es-ES_tradnl"/>
        </w:rPr>
        <w:t xml:space="preserve">hoy </w:t>
      </w:r>
      <w:r>
        <w:rPr>
          <w:rFonts w:cs="Arial"/>
          <w:szCs w:val="26"/>
          <w:lang w:eastAsia="es-ES_tradnl"/>
        </w:rPr>
        <w:t xml:space="preserve">se nos instala como un reto, desafiándonos a instalar la capacidad </w:t>
      </w:r>
      <w:r w:rsidRPr="006B5E4C">
        <w:rPr>
          <w:rFonts w:cs="Arial"/>
          <w:szCs w:val="26"/>
          <w:lang w:eastAsia="es-ES_tradnl"/>
        </w:rPr>
        <w:t>de formar personas que sepan desenvolverse y enfrentars</w:t>
      </w:r>
      <w:r>
        <w:rPr>
          <w:rFonts w:cs="Arial"/>
          <w:szCs w:val="26"/>
          <w:lang w:eastAsia="es-ES_tradnl"/>
        </w:rPr>
        <w:t>e con éxito en la incertidumbre y tomar decisiones, desarrollando</w:t>
      </w:r>
      <w:r w:rsidRPr="006B5E4C">
        <w:rPr>
          <w:rFonts w:cs="Arial"/>
          <w:szCs w:val="26"/>
          <w:lang w:eastAsia="es-ES_tradnl"/>
        </w:rPr>
        <w:t xml:space="preserve"> satisfactoriamente sus</w:t>
      </w:r>
      <w:r>
        <w:rPr>
          <w:rFonts w:cs="Arial"/>
          <w:szCs w:val="26"/>
          <w:lang w:eastAsia="es-ES_tradnl"/>
        </w:rPr>
        <w:t xml:space="preserve"> competencias básicas y afianzando</w:t>
      </w:r>
      <w:r w:rsidRPr="006B5E4C">
        <w:rPr>
          <w:rFonts w:cs="Arial"/>
          <w:szCs w:val="26"/>
          <w:lang w:eastAsia="es-ES_tradnl"/>
        </w:rPr>
        <w:t xml:space="preserve"> su identidad en la pluralidad.</w:t>
      </w:r>
      <w:r>
        <w:rPr>
          <w:rFonts w:cs="Arial"/>
          <w:szCs w:val="26"/>
          <w:lang w:eastAsia="es-ES_tradnl"/>
        </w:rPr>
        <w:t xml:space="preserve"> Facilitando el aprendizaje individual,</w:t>
      </w:r>
      <w:r w:rsidRPr="006B5E4C">
        <w:rPr>
          <w:rFonts w:cs="Arial"/>
          <w:szCs w:val="26"/>
          <w:lang w:eastAsia="es-ES_tradnl"/>
        </w:rPr>
        <w:t xml:space="preserve"> el aprendizaje cooperativo, </w:t>
      </w:r>
      <w:r>
        <w:rPr>
          <w:rFonts w:cs="Arial"/>
          <w:szCs w:val="26"/>
          <w:lang w:eastAsia="es-ES_tradnl"/>
        </w:rPr>
        <w:t>la autonomía y</w:t>
      </w:r>
      <w:r w:rsidRPr="006B5E4C">
        <w:rPr>
          <w:rFonts w:cs="Arial"/>
          <w:szCs w:val="26"/>
          <w:lang w:eastAsia="es-ES_tradnl"/>
        </w:rPr>
        <w:t xml:space="preserve"> el ejercicio del diálogo reflexivo</w:t>
      </w:r>
      <w:r>
        <w:rPr>
          <w:rFonts w:cs="Arial"/>
          <w:szCs w:val="26"/>
          <w:lang w:eastAsia="es-ES_tradnl"/>
        </w:rPr>
        <w:t xml:space="preserve">, integrados a la cotidianidad, inserta </w:t>
      </w:r>
      <w:r w:rsidRPr="006B5E4C">
        <w:rPr>
          <w:rFonts w:cs="Arial"/>
          <w:szCs w:val="26"/>
          <w:lang w:eastAsia="es-ES_tradnl"/>
        </w:rPr>
        <w:t>en los valores propios de una comunidad d</w:t>
      </w:r>
      <w:r>
        <w:rPr>
          <w:rFonts w:cs="Arial"/>
          <w:szCs w:val="26"/>
          <w:lang w:eastAsia="es-ES_tradnl"/>
        </w:rPr>
        <w:t>emocrática, equitativa y justa</w:t>
      </w:r>
      <w:r w:rsidRPr="006B5E4C">
        <w:rPr>
          <w:rFonts w:cs="Arial"/>
          <w:szCs w:val="26"/>
          <w:lang w:eastAsia="es-ES_tradnl"/>
        </w:rPr>
        <w:t>.</w:t>
      </w:r>
    </w:p>
    <w:p w:rsidR="00AD578C" w:rsidRPr="006B5E4C" w:rsidRDefault="00AD578C" w:rsidP="00AD578C">
      <w:pPr>
        <w:widowControl w:val="0"/>
        <w:autoSpaceDE w:val="0"/>
        <w:autoSpaceDN w:val="0"/>
        <w:adjustRightInd w:val="0"/>
        <w:spacing w:after="260"/>
        <w:ind w:firstLine="708"/>
        <w:jc w:val="both"/>
        <w:rPr>
          <w:rFonts w:cs="Arial"/>
          <w:szCs w:val="26"/>
          <w:lang w:eastAsia="es-ES_tradnl"/>
        </w:rPr>
      </w:pPr>
      <w:r>
        <w:rPr>
          <w:rFonts w:cs="Arial"/>
          <w:szCs w:val="26"/>
          <w:lang w:eastAsia="es-ES_tradnl"/>
        </w:rPr>
        <w:t>Apuntando</w:t>
      </w:r>
      <w:r w:rsidRPr="006B5E4C">
        <w:rPr>
          <w:rFonts w:cs="Arial"/>
          <w:szCs w:val="26"/>
          <w:lang w:eastAsia="es-ES_tradnl"/>
        </w:rPr>
        <w:t xml:space="preserve"> a la humanización</w:t>
      </w:r>
      <w:r>
        <w:rPr>
          <w:rFonts w:cs="Arial"/>
          <w:szCs w:val="26"/>
          <w:lang w:eastAsia="es-ES_tradnl"/>
        </w:rPr>
        <w:t xml:space="preserve"> de la educación</w:t>
      </w:r>
      <w:r w:rsidRPr="006B5E4C">
        <w:rPr>
          <w:rFonts w:cs="Arial"/>
          <w:szCs w:val="26"/>
          <w:lang w:eastAsia="es-ES_tradnl"/>
        </w:rPr>
        <w:t>, vislumbra</w:t>
      </w:r>
      <w:r>
        <w:rPr>
          <w:rFonts w:cs="Arial"/>
          <w:szCs w:val="26"/>
          <w:lang w:eastAsia="es-ES_tradnl"/>
        </w:rPr>
        <w:t>ndo la educación</w:t>
      </w:r>
      <w:r w:rsidRPr="006B5E4C">
        <w:rPr>
          <w:rFonts w:cs="Arial"/>
          <w:szCs w:val="26"/>
          <w:lang w:eastAsia="es-ES_tradnl"/>
        </w:rPr>
        <w:t xml:space="preserve"> como un medio indispensable de humanización, como un proceso de aprendizaje permanente</w:t>
      </w:r>
      <w:r>
        <w:rPr>
          <w:rFonts w:cs="Arial"/>
          <w:szCs w:val="26"/>
          <w:lang w:eastAsia="es-ES_tradnl"/>
        </w:rPr>
        <w:t xml:space="preserve"> que nos impulsa hacia</w:t>
      </w:r>
      <w:r w:rsidRPr="006B5E4C">
        <w:rPr>
          <w:rFonts w:cs="Arial"/>
          <w:szCs w:val="26"/>
          <w:lang w:eastAsia="es-ES_tradnl"/>
        </w:rPr>
        <w:t xml:space="preserve"> una actitud de autotransformación, aprendizaje y transformación </w:t>
      </w:r>
      <w:r>
        <w:rPr>
          <w:rFonts w:cs="Arial"/>
          <w:szCs w:val="26"/>
          <w:lang w:eastAsia="es-ES_tradnl"/>
        </w:rPr>
        <w:t>comprometida y con</w:t>
      </w:r>
      <w:r w:rsidRPr="006B5E4C">
        <w:rPr>
          <w:rFonts w:cs="Arial"/>
          <w:szCs w:val="26"/>
          <w:lang w:eastAsia="es-ES_tradnl"/>
        </w:rPr>
        <w:t xml:space="preserve"> participación social. </w:t>
      </w:r>
    </w:p>
    <w:p w:rsidR="00AD578C" w:rsidRDefault="00AD578C" w:rsidP="00AD578C">
      <w:pPr>
        <w:widowControl w:val="0"/>
        <w:autoSpaceDE w:val="0"/>
        <w:autoSpaceDN w:val="0"/>
        <w:adjustRightInd w:val="0"/>
        <w:ind w:firstLine="708"/>
        <w:jc w:val="both"/>
        <w:rPr>
          <w:rFonts w:cs="Arial"/>
          <w:szCs w:val="26"/>
          <w:lang w:eastAsia="es-ES_tradnl"/>
        </w:rPr>
      </w:pPr>
      <w:r>
        <w:rPr>
          <w:rFonts w:cs="Arial"/>
          <w:szCs w:val="26"/>
          <w:lang w:eastAsia="es-ES_tradnl"/>
        </w:rPr>
        <w:t xml:space="preserve">La labor educativa, desde esta perspectiva, </w:t>
      </w:r>
      <w:r w:rsidRPr="006B5E4C">
        <w:rPr>
          <w:rFonts w:cs="Arial"/>
          <w:szCs w:val="26"/>
          <w:lang w:eastAsia="es-ES_tradnl"/>
        </w:rPr>
        <w:t xml:space="preserve">requiere de docentes responsables con grandes retos en la práctica, </w:t>
      </w:r>
      <w:r>
        <w:rPr>
          <w:rFonts w:cs="Arial"/>
          <w:szCs w:val="26"/>
          <w:lang w:eastAsia="es-ES_tradnl"/>
        </w:rPr>
        <w:t xml:space="preserve">con valores éticos para la democracia, capaces de implementar </w:t>
      </w:r>
      <w:r w:rsidRPr="006B5E4C">
        <w:rPr>
          <w:rFonts w:cs="Arial"/>
          <w:szCs w:val="26"/>
          <w:lang w:eastAsia="es-ES_tradnl"/>
        </w:rPr>
        <w:t>un conjunto de acciones que hagan posible una mayor profesionalizac</w:t>
      </w:r>
      <w:r>
        <w:rPr>
          <w:rFonts w:cs="Arial"/>
          <w:szCs w:val="26"/>
          <w:lang w:eastAsia="es-ES_tradnl"/>
        </w:rPr>
        <w:t>ión que dignifique la tarea docente, promueva</w:t>
      </w:r>
      <w:r w:rsidRPr="006B5E4C">
        <w:rPr>
          <w:rFonts w:cs="Arial"/>
          <w:szCs w:val="26"/>
          <w:lang w:eastAsia="es-ES_tradnl"/>
        </w:rPr>
        <w:t xml:space="preserve"> su autoestima, </w:t>
      </w:r>
      <w:r>
        <w:rPr>
          <w:rFonts w:cs="Arial"/>
          <w:szCs w:val="26"/>
          <w:lang w:eastAsia="es-ES_tradnl"/>
        </w:rPr>
        <w:t>la</w:t>
      </w:r>
      <w:r w:rsidRPr="006B5E4C">
        <w:rPr>
          <w:rFonts w:cs="Arial"/>
          <w:szCs w:val="26"/>
          <w:lang w:eastAsia="es-ES_tradnl"/>
        </w:rPr>
        <w:t xml:space="preserve"> responsabilidad profesional y moral, </w:t>
      </w:r>
      <w:r>
        <w:rPr>
          <w:rFonts w:cs="Arial"/>
          <w:szCs w:val="26"/>
          <w:lang w:eastAsia="es-ES_tradnl"/>
        </w:rPr>
        <w:t>identificándose</w:t>
      </w:r>
      <w:r w:rsidRPr="006B5E4C">
        <w:rPr>
          <w:rFonts w:cs="Arial"/>
          <w:szCs w:val="26"/>
          <w:lang w:eastAsia="es-ES_tradnl"/>
        </w:rPr>
        <w:t xml:space="preserve"> como modelo de aprendizaje humano y social.</w:t>
      </w:r>
    </w:p>
    <w:p w:rsidR="00AD578C" w:rsidRDefault="00AD578C" w:rsidP="00AD578C">
      <w:pPr>
        <w:widowControl w:val="0"/>
        <w:autoSpaceDE w:val="0"/>
        <w:autoSpaceDN w:val="0"/>
        <w:adjustRightInd w:val="0"/>
        <w:jc w:val="both"/>
        <w:rPr>
          <w:rFonts w:cs="Arial"/>
          <w:szCs w:val="26"/>
          <w:lang w:eastAsia="es-ES_tradnl"/>
        </w:rPr>
      </w:pPr>
    </w:p>
    <w:p w:rsidR="00AD578C" w:rsidRPr="006B5E4C" w:rsidRDefault="00AD578C" w:rsidP="00AD578C">
      <w:pPr>
        <w:widowControl w:val="0"/>
        <w:autoSpaceDE w:val="0"/>
        <w:autoSpaceDN w:val="0"/>
        <w:adjustRightInd w:val="0"/>
        <w:jc w:val="both"/>
        <w:rPr>
          <w:rFonts w:cs="Geneva"/>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r>
        <w:rPr>
          <w:rFonts w:cs="Geneva"/>
          <w:color w:val="232323"/>
          <w:szCs w:val="26"/>
          <w:lang w:eastAsia="es-ES_tradnl"/>
        </w:rPr>
        <w:t xml:space="preserve">               </w:t>
      </w:r>
      <w:r>
        <w:rPr>
          <w:rFonts w:cs="Geneva"/>
          <w:noProof/>
          <w:color w:val="232323"/>
          <w:szCs w:val="26"/>
          <w:lang w:eastAsia="es-ES_tradnl"/>
        </w:rPr>
        <w:drawing>
          <wp:inline distT="0" distB="0" distL="0" distR="0">
            <wp:extent cx="4805045" cy="2182495"/>
            <wp:effectExtent l="0" t="0" r="0" b="0"/>
            <wp:docPr id="5" name="O 1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90072" cy="4421733"/>
                      <a:chOff x="383093" y="298176"/>
                      <a:chExt cx="8590072" cy="4421733"/>
                    </a:xfrm>
                  </a:grpSpPr>
                  <a:sp>
                    <a:nvSpPr>
                      <a:cNvPr id="4" name="Rectángulo redondeado 3"/>
                      <a:cNvSpPr/>
                    </a:nvSpPr>
                    <a:spPr>
                      <a:xfrm>
                        <a:off x="427951" y="298176"/>
                        <a:ext cx="3741120" cy="1085619"/>
                      </a:xfrm>
                      <a:prstGeom prst="roundRect">
                        <a:avLst/>
                      </a:prstGeom>
                    </a:spPr>
                    <a:txSp>
                      <a:txBody>
                        <a:bodyPr rtlCol="0" anchor="ctr"/>
                        <a:lstStyle>
                          <a:defPPr>
                            <a:defRPr lang="es-ES_tradnl"/>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s-ES_tradnl" dirty="0" smtClean="0"/>
                            <a:t>Contexto de la educación actual:</a:t>
                          </a:r>
                        </a:p>
                        <a:p>
                          <a:pPr algn="ctr"/>
                          <a:r>
                            <a:rPr lang="es-ES_tradnl" dirty="0" smtClean="0"/>
                            <a:t>Sociedad del aprendizaje continuo</a:t>
                          </a:r>
                          <a:endParaRPr lang="es-ES_tradnl" dirty="0"/>
                        </a:p>
                      </a:txBody>
                      <a:useSpRect/>
                    </a:txSp>
                    <a:style>
                      <a:lnRef idx="1">
                        <a:schemeClr val="accent1"/>
                      </a:lnRef>
                      <a:fillRef idx="3">
                        <a:schemeClr val="accent1"/>
                      </a:fillRef>
                      <a:effectRef idx="2">
                        <a:schemeClr val="accent1"/>
                      </a:effectRef>
                      <a:fontRef idx="minor">
                        <a:schemeClr val="lt1"/>
                      </a:fontRef>
                    </a:style>
                  </a:sp>
                  <a:cxnSp>
                    <a:nvCxnSpPr>
                      <a:cNvPr id="8" name="Conector recto de flecha 7"/>
                      <a:cNvCxnSpPr/>
                    </a:nvCxnSpPr>
                    <a:spPr>
                      <a:xfrm flipV="1">
                        <a:off x="4169071" y="926595"/>
                        <a:ext cx="1884350" cy="1611"/>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sp>
                    <a:nvSpPr>
                      <a:cNvPr id="9" name="CuadroTexto 8"/>
                      <a:cNvSpPr txBox="1"/>
                    </a:nvSpPr>
                    <a:spPr>
                      <a:xfrm>
                        <a:off x="4169071" y="557263"/>
                        <a:ext cx="1884350" cy="369332"/>
                      </a:xfrm>
                      <a:prstGeom prst="rect">
                        <a:avLst/>
                      </a:prstGeom>
                      <a:noFill/>
                    </a:spPr>
                    <a:txSp>
                      <a:txBody>
                        <a:bodyPr wrap="none" rtlCol="0">
                          <a:spAutoFit/>
                        </a:bodyPr>
                        <a:lstStyle>
                          <a:defPPr>
                            <a:defRPr lang="es-ES_tradnl"/>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r>
                            <a:rPr lang="es-ES_tradnl" dirty="0" smtClean="0"/>
                            <a:t>Sistema educativo</a:t>
                          </a:r>
                          <a:endParaRPr lang="es-ES_tradnl" dirty="0"/>
                        </a:p>
                      </a:txBody>
                      <a:useSpRect/>
                    </a:txSp>
                  </a:sp>
                  <a:sp>
                    <a:nvSpPr>
                      <a:cNvPr id="11" name="Rectángulo redondeado 10"/>
                      <a:cNvSpPr/>
                    </a:nvSpPr>
                    <a:spPr>
                      <a:xfrm>
                        <a:off x="6053421" y="298176"/>
                        <a:ext cx="2919744" cy="1085619"/>
                      </a:xfrm>
                      <a:prstGeom prst="roundRect">
                        <a:avLst/>
                      </a:prstGeom>
                    </a:spPr>
                    <a:txSp>
                      <a:txBody>
                        <a:bodyPr rtlCol="0" anchor="ctr"/>
                        <a:lstStyle>
                          <a:defPPr>
                            <a:defRPr lang="es-ES_tradnl"/>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just"/>
                          <a:r>
                            <a:rPr lang="es-ES_tradnl" dirty="0" smtClean="0"/>
                            <a:t>Necesidad de ampliarse y satisfacer las demandas sociales</a:t>
                          </a:r>
                          <a:endParaRPr lang="es-ES_tradnl" dirty="0"/>
                        </a:p>
                      </a:txBody>
                      <a:useSpRect/>
                    </a:txSp>
                    <a:style>
                      <a:lnRef idx="1">
                        <a:schemeClr val="accent1"/>
                      </a:lnRef>
                      <a:fillRef idx="3">
                        <a:schemeClr val="accent1"/>
                      </a:fillRef>
                      <a:effectRef idx="2">
                        <a:schemeClr val="accent1"/>
                      </a:effectRef>
                      <a:fontRef idx="minor">
                        <a:schemeClr val="lt1"/>
                      </a:fontRef>
                    </a:style>
                  </a:sp>
                  <a:cxnSp>
                    <a:nvCxnSpPr>
                      <a:cNvPr id="13" name="Conector recto de flecha 12"/>
                      <a:cNvCxnSpPr/>
                    </a:nvCxnSpPr>
                    <a:spPr>
                      <a:xfrm rot="10800000" flipV="1">
                        <a:off x="1325269" y="1383795"/>
                        <a:ext cx="565999" cy="549008"/>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15" name="Conector recto de flecha 14"/>
                      <a:cNvCxnSpPr/>
                    </a:nvCxnSpPr>
                    <a:spPr>
                      <a:xfrm>
                        <a:off x="2622925" y="1383795"/>
                        <a:ext cx="593609" cy="549009"/>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sp>
                    <a:nvSpPr>
                      <a:cNvPr id="16" name="Rectángulo redondeado 15"/>
                      <a:cNvSpPr/>
                    </a:nvSpPr>
                    <a:spPr>
                      <a:xfrm>
                        <a:off x="383093" y="1932804"/>
                        <a:ext cx="1884350" cy="621259"/>
                      </a:xfrm>
                      <a:prstGeom prst="roundRect">
                        <a:avLst/>
                      </a:prstGeom>
                    </a:spPr>
                    <a:txSp>
                      <a:txBody>
                        <a:bodyPr rtlCol="0" anchor="ctr"/>
                        <a:lstStyle>
                          <a:defPPr>
                            <a:defRPr lang="es-ES_tradnl"/>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s-ES_tradnl" dirty="0" smtClean="0"/>
                            <a:t>Metas educativas</a:t>
                          </a:r>
                          <a:endParaRPr lang="es-ES_tradnl" dirty="0"/>
                        </a:p>
                      </a:txBody>
                      <a:useSpRect/>
                    </a:txSp>
                    <a:style>
                      <a:lnRef idx="1">
                        <a:schemeClr val="accent1"/>
                      </a:lnRef>
                      <a:fillRef idx="3">
                        <a:schemeClr val="accent1"/>
                      </a:fillRef>
                      <a:effectRef idx="2">
                        <a:schemeClr val="accent1"/>
                      </a:effectRef>
                      <a:fontRef idx="minor">
                        <a:schemeClr val="lt1"/>
                      </a:fontRef>
                    </a:style>
                  </a:sp>
                  <a:sp>
                    <a:nvSpPr>
                      <a:cNvPr id="17" name="Rectángulo redondeado 16"/>
                      <a:cNvSpPr/>
                    </a:nvSpPr>
                    <a:spPr>
                      <a:xfrm>
                        <a:off x="2622925" y="1932804"/>
                        <a:ext cx="1884350" cy="621259"/>
                      </a:xfrm>
                      <a:prstGeom prst="roundRect">
                        <a:avLst/>
                      </a:prstGeom>
                    </a:spPr>
                    <a:txSp>
                      <a:txBody>
                        <a:bodyPr rtlCol="0" anchor="ctr"/>
                        <a:lstStyle>
                          <a:defPPr>
                            <a:defRPr lang="es-ES_tradnl"/>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s-ES_tradnl" dirty="0" smtClean="0"/>
                            <a:t>Perfil docente</a:t>
                          </a:r>
                          <a:endParaRPr lang="es-ES_tradnl" dirty="0"/>
                        </a:p>
                      </a:txBody>
                      <a:useSpRect/>
                    </a:txSp>
                    <a:style>
                      <a:lnRef idx="1">
                        <a:schemeClr val="accent1"/>
                      </a:lnRef>
                      <a:fillRef idx="3">
                        <a:schemeClr val="accent1"/>
                      </a:fillRef>
                      <a:effectRef idx="2">
                        <a:schemeClr val="accent1"/>
                      </a:effectRef>
                      <a:fontRef idx="minor">
                        <a:schemeClr val="lt1"/>
                      </a:fontRef>
                    </a:style>
                  </a:sp>
                  <a:cxnSp>
                    <a:nvCxnSpPr>
                      <a:cNvPr id="21" name="Conector recto de flecha 20"/>
                      <a:cNvCxnSpPr>
                        <a:stCxn id="11" idx="2"/>
                      </a:cNvCxnSpPr>
                    </a:nvCxnSpPr>
                    <a:spPr>
                      <a:xfrm rot="5400000">
                        <a:off x="7238789" y="1658299"/>
                        <a:ext cx="549008" cy="1588"/>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sp>
                    <a:nvSpPr>
                      <a:cNvPr id="22" name="Rectángulo redondeado 21"/>
                      <a:cNvSpPr/>
                    </a:nvSpPr>
                    <a:spPr>
                      <a:xfrm>
                        <a:off x="6470168" y="1932804"/>
                        <a:ext cx="2116459" cy="814538"/>
                      </a:xfrm>
                      <a:prstGeom prst="roundRect">
                        <a:avLst/>
                      </a:prstGeom>
                    </a:spPr>
                    <a:txSp>
                      <a:txBody>
                        <a:bodyPr rtlCol="0" anchor="ctr"/>
                        <a:lstStyle>
                          <a:defPPr>
                            <a:defRPr lang="es-ES_tradnl"/>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s-ES_tradnl" dirty="0" smtClean="0"/>
                            <a:t>Educación como Derecho</a:t>
                          </a:r>
                          <a:endParaRPr lang="es-ES_tradnl" dirty="0"/>
                        </a:p>
                      </a:txBody>
                      <a:useSpRect/>
                    </a:txSp>
                    <a:style>
                      <a:lnRef idx="1">
                        <a:schemeClr val="accent1"/>
                      </a:lnRef>
                      <a:fillRef idx="3">
                        <a:schemeClr val="accent1"/>
                      </a:fillRef>
                      <a:effectRef idx="2">
                        <a:schemeClr val="accent1"/>
                      </a:effectRef>
                      <a:fontRef idx="minor">
                        <a:schemeClr val="lt1"/>
                      </a:fontRef>
                    </a:style>
                  </a:sp>
                  <a:cxnSp>
                    <a:nvCxnSpPr>
                      <a:cNvPr id="24" name="Conector recto de flecha 23"/>
                      <a:cNvCxnSpPr>
                        <a:stCxn id="17" idx="2"/>
                      </a:cNvCxnSpPr>
                    </a:nvCxnSpPr>
                    <a:spPr>
                      <a:xfrm rot="5400000">
                        <a:off x="3252750" y="2862969"/>
                        <a:ext cx="621257" cy="3444"/>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sp>
                    <a:nvSpPr>
                      <a:cNvPr id="25" name="Rectángulo redondeado 24"/>
                      <a:cNvSpPr/>
                    </a:nvSpPr>
                    <a:spPr>
                      <a:xfrm>
                        <a:off x="2619481" y="3175320"/>
                        <a:ext cx="1884350" cy="898258"/>
                      </a:xfrm>
                      <a:prstGeom prst="roundRect">
                        <a:avLst/>
                      </a:prstGeom>
                    </a:spPr>
                    <a:txSp>
                      <a:txBody>
                        <a:bodyPr rtlCol="0" anchor="ctr"/>
                        <a:lstStyle>
                          <a:defPPr>
                            <a:defRPr lang="es-ES_tradnl"/>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s-ES_tradnl" dirty="0" smtClean="0"/>
                            <a:t>Papel social del profesor</a:t>
                          </a:r>
                          <a:endParaRPr lang="es-ES_tradnl" dirty="0"/>
                        </a:p>
                      </a:txBody>
                      <a:useSpRect/>
                    </a:txSp>
                    <a:style>
                      <a:lnRef idx="1">
                        <a:schemeClr val="accent1"/>
                      </a:lnRef>
                      <a:fillRef idx="3">
                        <a:schemeClr val="accent1"/>
                      </a:fillRef>
                      <a:effectRef idx="2">
                        <a:schemeClr val="accent1"/>
                      </a:effectRef>
                      <a:fontRef idx="minor">
                        <a:schemeClr val="lt1"/>
                      </a:fontRef>
                    </a:style>
                  </a:sp>
                  <a:sp>
                    <a:nvSpPr>
                      <a:cNvPr id="26" name="Distinto de 25"/>
                      <a:cNvSpPr/>
                    </a:nvSpPr>
                    <a:spPr>
                      <a:xfrm>
                        <a:off x="4507275" y="3325574"/>
                        <a:ext cx="738575" cy="319141"/>
                      </a:xfrm>
                      <a:prstGeom prst="mathNotEqual">
                        <a:avLst/>
                      </a:prstGeom>
                    </a:spPr>
                    <a:txSp>
                      <a:txBody>
                        <a:bodyPr rtlCol="0" anchor="ctr"/>
                        <a:lstStyle>
                          <a:defPPr>
                            <a:defRPr lang="es-ES_tradnl"/>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endParaRPr lang="es-ES_tradnl">
                            <a:solidFill>
                              <a:schemeClr val="tx1"/>
                            </a:solidFill>
                          </a:endParaRPr>
                        </a:p>
                      </a:txBody>
                      <a:useSpRect/>
                    </a:txSp>
                    <a:style>
                      <a:lnRef idx="1">
                        <a:schemeClr val="accent1"/>
                      </a:lnRef>
                      <a:fillRef idx="3">
                        <a:schemeClr val="accent1"/>
                      </a:fillRef>
                      <a:effectRef idx="2">
                        <a:schemeClr val="accent1"/>
                      </a:effectRef>
                      <a:fontRef idx="minor">
                        <a:schemeClr val="lt1"/>
                      </a:fontRef>
                    </a:style>
                  </a:sp>
                  <a:sp>
                    <a:nvSpPr>
                      <a:cNvPr id="27" name="Rectángulo redondeado 26"/>
                      <a:cNvSpPr/>
                    </a:nvSpPr>
                    <a:spPr>
                      <a:xfrm>
                        <a:off x="5527993" y="3051067"/>
                        <a:ext cx="3243274" cy="898258"/>
                      </a:xfrm>
                      <a:prstGeom prst="roundRect">
                        <a:avLst/>
                      </a:prstGeom>
                    </a:spPr>
                    <a:txSp>
                      <a:txBody>
                        <a:bodyPr rtlCol="0" anchor="ctr"/>
                        <a:lstStyle>
                          <a:defPPr>
                            <a:defRPr lang="es-ES_tradnl"/>
                          </a:defPPr>
                          <a:lvl1pPr marL="0" algn="l" defTabSz="457200" rtl="0" eaLnBrk="1" latinLnBrk="0" hangingPunct="1">
                            <a:defRPr sz="1800" kern="1200">
                              <a:solidFill>
                                <a:schemeClr val="lt1"/>
                              </a:solidFill>
                              <a:latin typeface="+mn-lt"/>
                              <a:ea typeface="+mn-ea"/>
                              <a:cs typeface="+mn-cs"/>
                            </a:defRPr>
                          </a:lvl1pPr>
                          <a:lvl2pPr marL="457200" algn="l" defTabSz="457200" rtl="0" eaLnBrk="1" latinLnBrk="0" hangingPunct="1">
                            <a:defRPr sz="1800" kern="1200">
                              <a:solidFill>
                                <a:schemeClr val="lt1"/>
                              </a:solidFill>
                              <a:latin typeface="+mn-lt"/>
                              <a:ea typeface="+mn-ea"/>
                              <a:cs typeface="+mn-cs"/>
                            </a:defRPr>
                          </a:lvl2pPr>
                          <a:lvl3pPr marL="914400" algn="l" defTabSz="457200" rtl="0" eaLnBrk="1" latinLnBrk="0" hangingPunct="1">
                            <a:defRPr sz="1800" kern="1200">
                              <a:solidFill>
                                <a:schemeClr val="lt1"/>
                              </a:solidFill>
                              <a:latin typeface="+mn-lt"/>
                              <a:ea typeface="+mn-ea"/>
                              <a:cs typeface="+mn-cs"/>
                            </a:defRPr>
                          </a:lvl3pPr>
                          <a:lvl4pPr marL="1371600" algn="l" defTabSz="457200" rtl="0" eaLnBrk="1" latinLnBrk="0" hangingPunct="1">
                            <a:defRPr sz="1800" kern="1200">
                              <a:solidFill>
                                <a:schemeClr val="lt1"/>
                              </a:solidFill>
                              <a:latin typeface="+mn-lt"/>
                              <a:ea typeface="+mn-ea"/>
                              <a:cs typeface="+mn-cs"/>
                            </a:defRPr>
                          </a:lvl4pPr>
                          <a:lvl5pPr marL="1828800" algn="l" defTabSz="457200" rtl="0" eaLnBrk="1" latinLnBrk="0" hangingPunct="1">
                            <a:defRPr sz="1800" kern="1200">
                              <a:solidFill>
                                <a:schemeClr val="lt1"/>
                              </a:solidFill>
                              <a:latin typeface="+mn-lt"/>
                              <a:ea typeface="+mn-ea"/>
                              <a:cs typeface="+mn-cs"/>
                            </a:defRPr>
                          </a:lvl5pPr>
                          <a:lvl6pPr marL="2286000" algn="l" defTabSz="457200" rtl="0" eaLnBrk="1" latinLnBrk="0" hangingPunct="1">
                            <a:defRPr sz="1800" kern="1200">
                              <a:solidFill>
                                <a:schemeClr val="lt1"/>
                              </a:solidFill>
                              <a:latin typeface="+mn-lt"/>
                              <a:ea typeface="+mn-ea"/>
                              <a:cs typeface="+mn-cs"/>
                            </a:defRPr>
                          </a:lvl6pPr>
                          <a:lvl7pPr marL="2743200" algn="l" defTabSz="457200" rtl="0" eaLnBrk="1" latinLnBrk="0" hangingPunct="1">
                            <a:defRPr sz="1800" kern="1200">
                              <a:solidFill>
                                <a:schemeClr val="lt1"/>
                              </a:solidFill>
                              <a:latin typeface="+mn-lt"/>
                              <a:ea typeface="+mn-ea"/>
                              <a:cs typeface="+mn-cs"/>
                            </a:defRPr>
                          </a:lvl7pPr>
                          <a:lvl8pPr marL="3200400" algn="l" defTabSz="457200" rtl="0" eaLnBrk="1" latinLnBrk="0" hangingPunct="1">
                            <a:defRPr sz="1800" kern="1200">
                              <a:solidFill>
                                <a:schemeClr val="lt1"/>
                              </a:solidFill>
                              <a:latin typeface="+mn-lt"/>
                              <a:ea typeface="+mn-ea"/>
                              <a:cs typeface="+mn-cs"/>
                            </a:defRPr>
                          </a:lvl8pPr>
                          <a:lvl9pPr marL="3657600" algn="l" defTabSz="457200" rtl="0" eaLnBrk="1" latinLnBrk="0" hangingPunct="1">
                            <a:defRPr sz="1800" kern="1200">
                              <a:solidFill>
                                <a:schemeClr val="lt1"/>
                              </a:solidFill>
                              <a:latin typeface="+mn-lt"/>
                              <a:ea typeface="+mn-ea"/>
                              <a:cs typeface="+mn-cs"/>
                            </a:defRPr>
                          </a:lvl9pPr>
                        </a:lstStyle>
                        <a:p>
                          <a:pPr algn="ctr"/>
                          <a:r>
                            <a:rPr lang="es-ES_tradnl" dirty="0" smtClean="0"/>
                            <a:t>Distinto al de transmisor de la ideología  y del conocimiento</a:t>
                          </a:r>
                          <a:endParaRPr lang="es-ES_tradnl" dirty="0"/>
                        </a:p>
                      </a:txBody>
                      <a:useSpRect/>
                    </a:txSp>
                    <a:style>
                      <a:lnRef idx="1">
                        <a:schemeClr val="accent1"/>
                      </a:lnRef>
                      <a:fillRef idx="3">
                        <a:schemeClr val="accent1"/>
                      </a:fillRef>
                      <a:effectRef idx="2">
                        <a:schemeClr val="accent1"/>
                      </a:effectRef>
                      <a:fontRef idx="minor">
                        <a:schemeClr val="lt1"/>
                      </a:fontRef>
                    </a:style>
                  </a:sp>
                  <a:cxnSp>
                    <a:nvCxnSpPr>
                      <a:cNvPr id="29" name="Conector recto de flecha 28"/>
                      <a:cNvCxnSpPr/>
                    </a:nvCxnSpPr>
                    <a:spPr>
                      <a:xfrm rot="16200000" flipH="1">
                        <a:off x="1078488" y="2800842"/>
                        <a:ext cx="497005" cy="3445"/>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sp>
                    <a:nvSpPr>
                      <a:cNvPr id="30" name="CuadroTexto 29"/>
                      <a:cNvSpPr txBox="1"/>
                    </a:nvSpPr>
                    <a:spPr>
                      <a:xfrm>
                        <a:off x="460099" y="3051067"/>
                        <a:ext cx="1753718" cy="646331"/>
                      </a:xfrm>
                      <a:prstGeom prst="rect">
                        <a:avLst/>
                      </a:prstGeom>
                      <a:noFill/>
                    </a:spPr>
                    <a:txSp>
                      <a:txBody>
                        <a:bodyPr wrap="none" rtlCol="0">
                          <a:spAutoFit/>
                        </a:bodyPr>
                        <a:lstStyle>
                          <a:defPPr>
                            <a:defRPr lang="es-ES_tradnl"/>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s-ES_tradnl" dirty="0" smtClean="0"/>
                            <a:t>Educación como </a:t>
                          </a:r>
                        </a:p>
                        <a:p>
                          <a:pPr algn="ctr"/>
                          <a:r>
                            <a:rPr lang="es-ES_tradnl" dirty="0" smtClean="0"/>
                            <a:t>proyecto ético</a:t>
                          </a:r>
                          <a:endParaRPr lang="es-ES_tradnl" dirty="0"/>
                        </a:p>
                      </a:txBody>
                      <a:useSpRect/>
                    </a:txSp>
                  </a:sp>
                  <a:cxnSp>
                    <a:nvCxnSpPr>
                      <a:cNvPr id="32" name="Conector recto de flecha 31"/>
                      <a:cNvCxnSpPr/>
                    </a:nvCxnSpPr>
                    <a:spPr>
                      <a:xfrm rot="16200000" flipH="1">
                        <a:off x="1144745" y="3881367"/>
                        <a:ext cx="376180" cy="8242"/>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sp>
                    <a:nvSpPr>
                      <a:cNvPr id="33" name="CuadroTexto 32"/>
                      <a:cNvSpPr txBox="1"/>
                    </a:nvSpPr>
                    <a:spPr>
                      <a:xfrm>
                        <a:off x="391323" y="4073578"/>
                        <a:ext cx="1891268" cy="646331"/>
                      </a:xfrm>
                      <a:prstGeom prst="rect">
                        <a:avLst/>
                      </a:prstGeom>
                      <a:noFill/>
                    </a:spPr>
                    <a:txSp>
                      <a:txBody>
                        <a:bodyPr wrap="square" rtlCol="0">
                          <a:spAutoFit/>
                        </a:bodyPr>
                        <a:lstStyle>
                          <a:defPPr>
                            <a:defRPr lang="es-ES_tradnl"/>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pPr algn="ctr"/>
                          <a:r>
                            <a:rPr lang="es-ES_tradnl" dirty="0" smtClean="0"/>
                            <a:t>Formación de ciudadanos</a:t>
                          </a:r>
                          <a:endParaRPr lang="es-ES_tradnl" dirty="0"/>
                        </a:p>
                      </a:txBody>
                      <a:useSpRect/>
                    </a:txSp>
                  </a:sp>
                </lc:lockedCanvas>
              </a:graphicData>
            </a:graphic>
          </wp:inline>
        </w:drawing>
      </w:r>
    </w:p>
    <w:p w:rsidR="00AD578C" w:rsidRDefault="00AD578C" w:rsidP="00AD578C">
      <w:pPr>
        <w:widowControl w:val="0"/>
        <w:autoSpaceDE w:val="0"/>
        <w:autoSpaceDN w:val="0"/>
        <w:adjustRightInd w:val="0"/>
        <w:jc w:val="both"/>
        <w:rPr>
          <w:rFonts w:cs="Geneva"/>
          <w:color w:val="232323"/>
          <w:szCs w:val="26"/>
          <w:lang w:eastAsia="es-ES_tradnl"/>
        </w:rPr>
      </w:pPr>
    </w:p>
    <w:p w:rsidR="00AD578C" w:rsidRPr="008326BF" w:rsidRDefault="00AD578C" w:rsidP="00AD578C">
      <w:pPr>
        <w:pStyle w:val="NormalWeb"/>
        <w:spacing w:before="2" w:after="2"/>
        <w:jc w:val="both"/>
        <w:rPr>
          <w:rFonts w:ascii="Cambria" w:hAnsi="Cambria"/>
          <w:sz w:val="16"/>
        </w:rPr>
      </w:pPr>
      <w:r>
        <w:rPr>
          <w:rFonts w:ascii="Cambria" w:hAnsi="Cambria" w:cs="Geneva"/>
          <w:b/>
          <w:i/>
          <w:color w:val="232323"/>
          <w:sz w:val="16"/>
          <w:szCs w:val="26"/>
        </w:rPr>
        <w:t>Esquema</w:t>
      </w:r>
      <w:r w:rsidRPr="008326BF">
        <w:rPr>
          <w:rFonts w:ascii="Cambria" w:hAnsi="Cambria" w:cs="Geneva"/>
          <w:b/>
          <w:i/>
          <w:color w:val="232323"/>
          <w:sz w:val="16"/>
          <w:szCs w:val="26"/>
        </w:rPr>
        <w:t xml:space="preserve">: </w:t>
      </w:r>
      <w:r w:rsidRPr="008326BF">
        <w:rPr>
          <w:rFonts w:ascii="Cambria" w:hAnsi="Cambria" w:cs="Arial Black"/>
          <w:b/>
          <w:bCs/>
          <w:color w:val="232323"/>
          <w:sz w:val="16"/>
          <w:szCs w:val="26"/>
        </w:rPr>
        <w:t xml:space="preserve">Marina J.M. (2001). Profesores para un mundo  ultramoderno. Cuadernos de pedagogía, </w:t>
      </w:r>
      <w:proofErr w:type="spellStart"/>
      <w:r w:rsidRPr="008326BF">
        <w:rPr>
          <w:rFonts w:ascii="Cambria" w:hAnsi="Cambria" w:cs="Arial Black"/>
          <w:b/>
          <w:bCs/>
          <w:color w:val="232323"/>
          <w:sz w:val="16"/>
          <w:szCs w:val="26"/>
        </w:rPr>
        <w:t>nº</w:t>
      </w:r>
      <w:proofErr w:type="spellEnd"/>
      <w:r w:rsidRPr="008326BF">
        <w:rPr>
          <w:rFonts w:ascii="Cambria" w:hAnsi="Cambria" w:cs="Arial Black"/>
          <w:b/>
          <w:bCs/>
          <w:color w:val="232323"/>
          <w:sz w:val="16"/>
          <w:szCs w:val="26"/>
        </w:rPr>
        <w:t xml:space="preserve"> 304, pp. 18-21(*)</w:t>
      </w:r>
      <w:r>
        <w:rPr>
          <w:rFonts w:ascii="Cambria" w:hAnsi="Cambria" w:cs="Arial Black"/>
          <w:b/>
          <w:bCs/>
          <w:color w:val="232323"/>
          <w:sz w:val="16"/>
          <w:szCs w:val="26"/>
        </w:rPr>
        <w:t xml:space="preserve"> </w:t>
      </w:r>
      <w:r w:rsidRPr="008326BF">
        <w:rPr>
          <w:rFonts w:ascii="Cambria" w:hAnsi="Cambria" w:cs="Geneva"/>
          <w:b/>
          <w:i/>
          <w:color w:val="232323"/>
          <w:sz w:val="16"/>
          <w:szCs w:val="26"/>
        </w:rPr>
        <w:t xml:space="preserve">Página </w:t>
      </w:r>
      <w:proofErr w:type="spellStart"/>
      <w:r w:rsidRPr="008326BF">
        <w:rPr>
          <w:rFonts w:ascii="Cambria" w:hAnsi="Cambria" w:cs="Geneva"/>
          <w:b/>
          <w:i/>
          <w:color w:val="232323"/>
          <w:sz w:val="16"/>
          <w:szCs w:val="26"/>
        </w:rPr>
        <w:t>web</w:t>
      </w:r>
      <w:proofErr w:type="spellEnd"/>
      <w:r w:rsidRPr="008326BF">
        <w:rPr>
          <w:rFonts w:ascii="Cambria" w:hAnsi="Cambria" w:cs="Geneva"/>
          <w:b/>
          <w:i/>
          <w:color w:val="232323"/>
          <w:sz w:val="16"/>
          <w:szCs w:val="26"/>
        </w:rPr>
        <w:t>: Educar es transformar. Link: http://kazolas.wix.com/educaytransforma#!bibliografia-bloque-i/ct7f</w:t>
      </w:r>
    </w:p>
    <w:p w:rsidR="00AD578C" w:rsidRDefault="00AD578C" w:rsidP="00AD578C">
      <w:pPr>
        <w:widowControl w:val="0"/>
        <w:autoSpaceDE w:val="0"/>
        <w:autoSpaceDN w:val="0"/>
        <w:adjustRightInd w:val="0"/>
        <w:jc w:val="both"/>
        <w:rPr>
          <w:rFonts w:cs="Geneva"/>
          <w:color w:val="232323"/>
          <w:szCs w:val="26"/>
          <w:lang w:eastAsia="es-ES_tradnl"/>
        </w:rPr>
      </w:pPr>
    </w:p>
    <w:p w:rsidR="00AD578C" w:rsidRPr="00A503C0" w:rsidRDefault="00AD578C" w:rsidP="00AD578C">
      <w:pPr>
        <w:widowControl w:val="0"/>
        <w:autoSpaceDE w:val="0"/>
        <w:autoSpaceDN w:val="0"/>
        <w:adjustRightInd w:val="0"/>
        <w:spacing w:after="260"/>
        <w:rPr>
          <w:rFonts w:cs="Arial"/>
          <w:b/>
          <w:bCs/>
          <w:szCs w:val="26"/>
          <w:lang w:eastAsia="es-ES_tradnl"/>
        </w:rPr>
      </w:pPr>
      <w:r>
        <w:rPr>
          <w:rFonts w:cs="Arial"/>
          <w:b/>
          <w:bCs/>
          <w:szCs w:val="26"/>
          <w:lang w:eastAsia="es-ES_tradnl"/>
        </w:rPr>
        <w:t>1.3 Desafíos de la educación en la era de la globalización</w:t>
      </w:r>
    </w:p>
    <w:p w:rsidR="00AD578C" w:rsidRDefault="00AD578C" w:rsidP="00AD578C">
      <w:pPr>
        <w:widowControl w:val="0"/>
        <w:autoSpaceDE w:val="0"/>
        <w:autoSpaceDN w:val="0"/>
        <w:adjustRightInd w:val="0"/>
        <w:spacing w:after="260"/>
        <w:ind w:firstLine="708"/>
        <w:jc w:val="both"/>
        <w:rPr>
          <w:rFonts w:cs="Arial"/>
          <w:szCs w:val="26"/>
          <w:lang w:eastAsia="es-ES_tradnl"/>
        </w:rPr>
      </w:pPr>
      <w:r>
        <w:rPr>
          <w:rFonts w:cs="Arial"/>
          <w:szCs w:val="26"/>
          <w:lang w:eastAsia="es-ES_tradnl"/>
        </w:rPr>
        <w:t>Si hablamos de globalización, hablamos de</w:t>
      </w:r>
      <w:r w:rsidRPr="006B5E4C">
        <w:rPr>
          <w:rFonts w:cs="Arial"/>
          <w:szCs w:val="26"/>
          <w:lang w:eastAsia="es-ES_tradnl"/>
        </w:rPr>
        <w:t xml:space="preserve"> un proceso que genera cambios económicos, políticos, sociales</w:t>
      </w:r>
      <w:r>
        <w:rPr>
          <w:rFonts w:cs="Arial"/>
          <w:szCs w:val="26"/>
          <w:lang w:eastAsia="es-ES_tradnl"/>
        </w:rPr>
        <w:t xml:space="preserve"> y tecnológicos a nivel mundial y que, por cierto</w:t>
      </w:r>
      <w:r w:rsidRPr="006B5E4C">
        <w:rPr>
          <w:rFonts w:cs="Arial"/>
          <w:szCs w:val="26"/>
          <w:lang w:eastAsia="es-ES_tradnl"/>
        </w:rPr>
        <w:t xml:space="preserve"> </w:t>
      </w:r>
      <w:r>
        <w:rPr>
          <w:rFonts w:cs="Arial"/>
          <w:szCs w:val="26"/>
          <w:lang w:eastAsia="es-ES_tradnl"/>
        </w:rPr>
        <w:t>reduce</w:t>
      </w:r>
      <w:r w:rsidRPr="006B5E4C">
        <w:rPr>
          <w:rFonts w:cs="Arial"/>
          <w:szCs w:val="26"/>
          <w:lang w:eastAsia="es-ES_tradnl"/>
        </w:rPr>
        <w:t xml:space="preserve"> las dis</w:t>
      </w:r>
      <w:r>
        <w:rPr>
          <w:rFonts w:cs="Arial"/>
          <w:szCs w:val="26"/>
          <w:lang w:eastAsia="es-ES_tradnl"/>
        </w:rPr>
        <w:t xml:space="preserve">tancias entre países y regiones. Estamos situados en un </w:t>
      </w:r>
      <w:r w:rsidRPr="006B5E4C">
        <w:rPr>
          <w:rFonts w:cs="Arial"/>
          <w:szCs w:val="26"/>
          <w:lang w:eastAsia="es-ES_tradnl"/>
        </w:rPr>
        <w:t>contexto de transición de la sociedad industrial a la sociedad del conocimiento</w:t>
      </w:r>
      <w:r>
        <w:rPr>
          <w:rFonts w:cs="Arial"/>
          <w:szCs w:val="26"/>
          <w:lang w:eastAsia="es-ES_tradnl"/>
        </w:rPr>
        <w:t>, contexto</w:t>
      </w:r>
      <w:r w:rsidRPr="006B5E4C">
        <w:rPr>
          <w:rFonts w:cs="Arial"/>
          <w:szCs w:val="26"/>
          <w:lang w:eastAsia="es-ES_tradnl"/>
        </w:rPr>
        <w:t xml:space="preserve"> en el que se requiere la innovación, la educación, la experiencia y la creatividad de los individuos.</w:t>
      </w:r>
    </w:p>
    <w:p w:rsidR="00AD578C" w:rsidRDefault="00AD578C" w:rsidP="00AD578C">
      <w:pPr>
        <w:widowControl w:val="0"/>
        <w:autoSpaceDE w:val="0"/>
        <w:autoSpaceDN w:val="0"/>
        <w:adjustRightInd w:val="0"/>
        <w:spacing w:after="260"/>
        <w:ind w:firstLine="708"/>
        <w:jc w:val="both"/>
        <w:rPr>
          <w:rFonts w:cs="Arial"/>
          <w:szCs w:val="26"/>
          <w:lang w:eastAsia="es-ES_tradnl"/>
        </w:rPr>
      </w:pPr>
      <w:r>
        <w:rPr>
          <w:rFonts w:cs="Arial"/>
          <w:szCs w:val="26"/>
          <w:lang w:eastAsia="es-ES_tradnl"/>
        </w:rPr>
        <w:t xml:space="preserve">                                        </w:t>
      </w:r>
      <w:r>
        <w:rPr>
          <w:rFonts w:cs="Arial"/>
          <w:noProof/>
          <w:szCs w:val="26"/>
          <w:lang w:eastAsia="es-ES_tradnl"/>
        </w:rPr>
        <w:drawing>
          <wp:inline distT="0" distB="0" distL="0" distR="0">
            <wp:extent cx="1811655" cy="1828800"/>
            <wp:effectExtent l="25400" t="0" r="0" b="0"/>
            <wp:docPr id="6" name="I 2" descr="globalizacion-ha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2" descr="globalizacion-hambre.jpg"/>
                    <pic:cNvPicPr>
                      <a:picLocks noChangeAspect="1" noChangeArrowheads="1"/>
                    </pic:cNvPicPr>
                  </pic:nvPicPr>
                  <pic:blipFill>
                    <a:blip r:embed="rId12"/>
                    <a:srcRect/>
                    <a:stretch>
                      <a:fillRect/>
                    </a:stretch>
                  </pic:blipFill>
                  <pic:spPr bwMode="auto">
                    <a:xfrm>
                      <a:off x="0" y="0"/>
                      <a:ext cx="1811655" cy="1828800"/>
                    </a:xfrm>
                    <a:prstGeom prst="rect">
                      <a:avLst/>
                    </a:prstGeom>
                    <a:noFill/>
                    <a:ln w="9525">
                      <a:noFill/>
                      <a:miter lim="800000"/>
                      <a:headEnd/>
                      <a:tailEnd/>
                    </a:ln>
                  </pic:spPr>
                </pic:pic>
              </a:graphicData>
            </a:graphic>
          </wp:inline>
        </w:drawing>
      </w:r>
      <w:r w:rsidRPr="006B5E4C">
        <w:rPr>
          <w:rFonts w:cs="Arial"/>
          <w:szCs w:val="26"/>
          <w:lang w:eastAsia="es-ES_tradnl"/>
        </w:rPr>
        <w:t xml:space="preserve"> </w:t>
      </w:r>
    </w:p>
    <w:p w:rsidR="00AD578C" w:rsidRPr="006B5E4C" w:rsidRDefault="00AD578C" w:rsidP="00AD578C">
      <w:pPr>
        <w:widowControl w:val="0"/>
        <w:autoSpaceDE w:val="0"/>
        <w:autoSpaceDN w:val="0"/>
        <w:adjustRightInd w:val="0"/>
        <w:spacing w:after="260"/>
        <w:ind w:firstLine="708"/>
        <w:jc w:val="both"/>
        <w:rPr>
          <w:rFonts w:cs="Arial"/>
          <w:szCs w:val="26"/>
          <w:lang w:eastAsia="es-ES_tradnl"/>
        </w:rPr>
      </w:pPr>
    </w:p>
    <w:p w:rsidR="00AD578C" w:rsidRDefault="00AD578C" w:rsidP="00AD578C">
      <w:pPr>
        <w:widowControl w:val="0"/>
        <w:autoSpaceDE w:val="0"/>
        <w:autoSpaceDN w:val="0"/>
        <w:adjustRightInd w:val="0"/>
        <w:spacing w:after="260"/>
        <w:ind w:firstLine="708"/>
        <w:jc w:val="both"/>
        <w:rPr>
          <w:rFonts w:cs="Arial"/>
          <w:szCs w:val="26"/>
          <w:lang w:eastAsia="es-ES_tradnl"/>
        </w:rPr>
      </w:pPr>
      <w:r>
        <w:rPr>
          <w:rFonts w:cs="Arial"/>
          <w:szCs w:val="26"/>
          <w:lang w:eastAsia="es-ES_tradnl"/>
        </w:rPr>
        <w:t>Los r</w:t>
      </w:r>
      <w:r w:rsidRPr="006B5E4C">
        <w:rPr>
          <w:rFonts w:cs="Arial"/>
          <w:szCs w:val="26"/>
          <w:lang w:eastAsia="es-ES_tradnl"/>
        </w:rPr>
        <w:t>etos que debe enfrentar la educación en el siglo XXI a nivel mundial</w:t>
      </w:r>
      <w:r>
        <w:rPr>
          <w:rFonts w:cs="Arial"/>
          <w:szCs w:val="26"/>
          <w:lang w:eastAsia="es-ES_tradnl"/>
        </w:rPr>
        <w:t>, por tanto,</w:t>
      </w:r>
      <w:r w:rsidRPr="006B5E4C">
        <w:rPr>
          <w:rFonts w:cs="Arial"/>
          <w:szCs w:val="26"/>
          <w:lang w:eastAsia="es-ES_tradnl"/>
        </w:rPr>
        <w:t xml:space="preserve"> </w:t>
      </w:r>
      <w:r>
        <w:rPr>
          <w:rFonts w:cs="Arial"/>
          <w:szCs w:val="26"/>
          <w:lang w:eastAsia="es-ES_tradnl"/>
        </w:rPr>
        <w:t xml:space="preserve">son diversos, y en este sentido la UNESCO </w:t>
      </w:r>
      <w:r w:rsidRPr="006B5E4C">
        <w:rPr>
          <w:rFonts w:cs="Arial"/>
          <w:szCs w:val="26"/>
          <w:lang w:eastAsia="es-ES_tradnl"/>
        </w:rPr>
        <w:t>señala que "en el contexto de la sociedad contemporánea caracterizada por incertidumbres y tensiones ‘todo convida a revalorizar los aspectos éticos y culturales de la educación. Más allá del desarrollo, la educación debe servir para promover el desarrollo humano, mejorar y enriquecer la vida de todos los seres humanos".</w:t>
      </w:r>
    </w:p>
    <w:p w:rsidR="00AD578C" w:rsidRDefault="00AD578C" w:rsidP="00AD578C">
      <w:pPr>
        <w:widowControl w:val="0"/>
        <w:autoSpaceDE w:val="0"/>
        <w:autoSpaceDN w:val="0"/>
        <w:adjustRightInd w:val="0"/>
        <w:spacing w:after="260"/>
        <w:ind w:firstLine="708"/>
        <w:jc w:val="both"/>
        <w:rPr>
          <w:rFonts w:cs="Arial"/>
          <w:szCs w:val="26"/>
          <w:lang w:eastAsia="es-ES_tradnl"/>
        </w:rPr>
      </w:pPr>
      <w:r>
        <w:rPr>
          <w:rFonts w:cs="Arial"/>
          <w:szCs w:val="26"/>
          <w:lang w:eastAsia="es-ES_tradnl"/>
        </w:rPr>
        <w:t xml:space="preserve">           Estos elementos, reorientan la visión del ser humano que se ha tenido hasta el momento, como fuerza laboral, hacia  la de un buen ciudadano, haciendo </w:t>
      </w:r>
      <w:r w:rsidRPr="006B5E4C">
        <w:rPr>
          <w:rFonts w:cs="Arial"/>
          <w:szCs w:val="26"/>
          <w:lang w:eastAsia="es-ES_tradnl"/>
        </w:rPr>
        <w:t>énfasis en</w:t>
      </w:r>
      <w:r>
        <w:rPr>
          <w:rFonts w:cs="Arial"/>
          <w:szCs w:val="26"/>
          <w:lang w:eastAsia="es-ES_tradnl"/>
        </w:rPr>
        <w:t xml:space="preserve"> la permanencia de los valores, profundizando en los</w:t>
      </w:r>
      <w:r w:rsidRPr="006B5E4C">
        <w:rPr>
          <w:rFonts w:cs="Arial"/>
          <w:szCs w:val="26"/>
          <w:lang w:eastAsia="es-ES_tradnl"/>
        </w:rPr>
        <w:t xml:space="preserve"> ideal</w:t>
      </w:r>
      <w:r>
        <w:rPr>
          <w:rFonts w:cs="Arial"/>
          <w:szCs w:val="26"/>
          <w:lang w:eastAsia="es-ES_tradnl"/>
        </w:rPr>
        <w:t>es</w:t>
      </w:r>
      <w:r w:rsidRPr="006B5E4C">
        <w:rPr>
          <w:rFonts w:cs="Arial"/>
          <w:szCs w:val="26"/>
          <w:lang w:eastAsia="es-ES_tradnl"/>
        </w:rPr>
        <w:t xml:space="preserve"> democrático</w:t>
      </w:r>
      <w:r>
        <w:rPr>
          <w:rFonts w:cs="Arial"/>
          <w:szCs w:val="26"/>
          <w:lang w:eastAsia="es-ES_tradnl"/>
        </w:rPr>
        <w:t>s</w:t>
      </w:r>
      <w:r w:rsidRPr="006B5E4C">
        <w:rPr>
          <w:rFonts w:cs="Arial"/>
          <w:szCs w:val="26"/>
          <w:lang w:eastAsia="es-ES_tradnl"/>
        </w:rPr>
        <w:t xml:space="preserve"> </w:t>
      </w:r>
      <w:r>
        <w:rPr>
          <w:rFonts w:cs="Arial"/>
          <w:szCs w:val="26"/>
          <w:lang w:eastAsia="es-ES_tradnl"/>
        </w:rPr>
        <w:t xml:space="preserve">considerando </w:t>
      </w:r>
      <w:r w:rsidRPr="006B5E4C">
        <w:rPr>
          <w:rFonts w:cs="Arial"/>
          <w:szCs w:val="26"/>
          <w:lang w:eastAsia="es-ES_tradnl"/>
        </w:rPr>
        <w:t xml:space="preserve">el respeto al pluralismo cultural, religioso e ideológico, </w:t>
      </w:r>
      <w:r>
        <w:rPr>
          <w:rFonts w:cs="Arial"/>
          <w:szCs w:val="26"/>
          <w:lang w:eastAsia="es-ES_tradnl"/>
        </w:rPr>
        <w:t>en pos del</w:t>
      </w:r>
      <w:r w:rsidRPr="006B5E4C">
        <w:rPr>
          <w:rFonts w:cs="Arial"/>
          <w:szCs w:val="26"/>
          <w:lang w:eastAsia="es-ES_tradnl"/>
        </w:rPr>
        <w:t xml:space="preserve"> entendimiento mutuo y </w:t>
      </w:r>
      <w:r>
        <w:rPr>
          <w:rFonts w:cs="Arial"/>
          <w:szCs w:val="26"/>
          <w:lang w:eastAsia="es-ES_tradnl"/>
        </w:rPr>
        <w:t xml:space="preserve">de </w:t>
      </w:r>
      <w:r w:rsidRPr="006B5E4C">
        <w:rPr>
          <w:rFonts w:cs="Arial"/>
          <w:szCs w:val="26"/>
          <w:lang w:eastAsia="es-ES_tradnl"/>
        </w:rPr>
        <w:t>l</w:t>
      </w:r>
      <w:r>
        <w:rPr>
          <w:rFonts w:cs="Arial"/>
          <w:szCs w:val="26"/>
          <w:lang w:eastAsia="es-ES_tradnl"/>
        </w:rPr>
        <w:t>a convivencia</w:t>
      </w:r>
      <w:r w:rsidRPr="006B5E4C">
        <w:rPr>
          <w:rFonts w:cs="Arial"/>
          <w:szCs w:val="26"/>
          <w:lang w:eastAsia="es-ES_tradnl"/>
        </w:rPr>
        <w:t>.</w:t>
      </w:r>
      <w:r>
        <w:rPr>
          <w:rFonts w:cs="Arial"/>
          <w:szCs w:val="26"/>
          <w:lang w:eastAsia="es-ES_tradnl"/>
        </w:rPr>
        <w:t xml:space="preserve"> Instándonos, entonces,  a </w:t>
      </w:r>
      <w:r w:rsidRPr="006B5E4C">
        <w:rPr>
          <w:rFonts w:cs="Arial"/>
          <w:szCs w:val="26"/>
          <w:lang w:eastAsia="es-ES_tradnl"/>
        </w:rPr>
        <w:t xml:space="preserve">reforzar los </w:t>
      </w:r>
      <w:r>
        <w:rPr>
          <w:rFonts w:cs="Arial"/>
          <w:szCs w:val="26"/>
          <w:lang w:eastAsia="es-ES_tradnl"/>
        </w:rPr>
        <w:t>valores en el sistema educativo y</w:t>
      </w:r>
      <w:r w:rsidRPr="006B5E4C">
        <w:rPr>
          <w:rFonts w:cs="Arial"/>
          <w:szCs w:val="26"/>
          <w:lang w:eastAsia="es-ES_tradnl"/>
        </w:rPr>
        <w:t xml:space="preserve"> </w:t>
      </w:r>
      <w:r>
        <w:rPr>
          <w:rFonts w:cs="Arial"/>
          <w:szCs w:val="26"/>
          <w:lang w:eastAsia="es-ES_tradnl"/>
        </w:rPr>
        <w:t xml:space="preserve">a </w:t>
      </w:r>
      <w:r w:rsidRPr="006B5E4C">
        <w:rPr>
          <w:rFonts w:cs="Arial"/>
          <w:szCs w:val="26"/>
          <w:lang w:eastAsia="es-ES_tradnl"/>
        </w:rPr>
        <w:t xml:space="preserve"> promover acciones de carácter local y regional orientadas y guiadas por principios éticos de carácter global y unive</w:t>
      </w:r>
      <w:r>
        <w:rPr>
          <w:rFonts w:cs="Arial"/>
          <w:szCs w:val="26"/>
          <w:lang w:eastAsia="es-ES_tradnl"/>
        </w:rPr>
        <w:t xml:space="preserve">rsal, como por ejemplo, aquellas orientadas a </w:t>
      </w:r>
      <w:r w:rsidRPr="006B5E4C">
        <w:rPr>
          <w:rFonts w:cs="Arial"/>
          <w:szCs w:val="26"/>
          <w:lang w:eastAsia="es-ES_tradnl"/>
        </w:rPr>
        <w:t xml:space="preserve">la conservación y utilización adecuada del medio ambiente, </w:t>
      </w:r>
      <w:r>
        <w:rPr>
          <w:rFonts w:cs="Arial"/>
          <w:szCs w:val="26"/>
          <w:lang w:eastAsia="es-ES_tradnl"/>
        </w:rPr>
        <w:t xml:space="preserve">o </w:t>
      </w:r>
      <w:r w:rsidRPr="006B5E4C">
        <w:rPr>
          <w:rFonts w:cs="Arial"/>
          <w:szCs w:val="26"/>
          <w:lang w:eastAsia="es-ES_tradnl"/>
        </w:rPr>
        <w:t xml:space="preserve">el respeto a los derechos humanos, </w:t>
      </w:r>
      <w:r>
        <w:rPr>
          <w:rFonts w:cs="Arial"/>
          <w:szCs w:val="26"/>
          <w:lang w:eastAsia="es-ES_tradnl"/>
        </w:rPr>
        <w:t xml:space="preserve">o </w:t>
      </w:r>
      <w:r w:rsidRPr="006B5E4C">
        <w:rPr>
          <w:rFonts w:cs="Arial"/>
          <w:szCs w:val="26"/>
          <w:lang w:eastAsia="es-ES_tradnl"/>
        </w:rPr>
        <w:t>la no discriminación y la pro</w:t>
      </w:r>
      <w:r>
        <w:rPr>
          <w:rFonts w:cs="Arial"/>
          <w:szCs w:val="26"/>
          <w:lang w:eastAsia="es-ES_tradnl"/>
        </w:rPr>
        <w:t>moción d</w:t>
      </w:r>
      <w:r w:rsidRPr="006B5E4C">
        <w:rPr>
          <w:rFonts w:cs="Arial"/>
          <w:szCs w:val="26"/>
          <w:lang w:eastAsia="es-ES_tradnl"/>
        </w:rPr>
        <w:t xml:space="preserve">el respeto al pluralismo, </w:t>
      </w:r>
      <w:r>
        <w:rPr>
          <w:rFonts w:cs="Arial"/>
          <w:szCs w:val="26"/>
          <w:lang w:eastAsia="es-ES_tradnl"/>
        </w:rPr>
        <w:t xml:space="preserve">entre otras, en las que la escuela invita, lidera, comparte y crea con la comunidad alterando, humanizando, en definitiva,  transformando la sociedad. </w:t>
      </w:r>
    </w:p>
    <w:p w:rsidR="00AD578C" w:rsidRPr="008F2A49" w:rsidRDefault="00AD578C" w:rsidP="00AD578C">
      <w:pPr>
        <w:widowControl w:val="0"/>
        <w:autoSpaceDE w:val="0"/>
        <w:autoSpaceDN w:val="0"/>
        <w:adjustRightInd w:val="0"/>
        <w:spacing w:after="260"/>
        <w:ind w:firstLine="708"/>
        <w:jc w:val="both"/>
        <w:rPr>
          <w:rFonts w:cs="Arial"/>
          <w:szCs w:val="26"/>
          <w:lang w:eastAsia="es-ES_tradnl"/>
        </w:rPr>
      </w:pPr>
      <w:r>
        <w:rPr>
          <w:rFonts w:cs="Arial"/>
          <w:szCs w:val="26"/>
          <w:lang w:eastAsia="es-ES_tradnl"/>
        </w:rPr>
        <w:t xml:space="preserve">Situando, de esta manera,  la actividad profesional en el siguiente marco: </w:t>
      </w:r>
    </w:p>
    <w:p w:rsidR="00AD578C" w:rsidRDefault="00AD578C" w:rsidP="00AD578C">
      <w:pPr>
        <w:widowControl w:val="0"/>
        <w:autoSpaceDE w:val="0"/>
        <w:autoSpaceDN w:val="0"/>
        <w:adjustRightInd w:val="0"/>
        <w:jc w:val="both"/>
        <w:rPr>
          <w:rFonts w:cs="Geneva"/>
          <w:szCs w:val="26"/>
          <w:lang w:eastAsia="es-ES_tradnl"/>
        </w:rPr>
      </w:pPr>
      <w:r>
        <w:rPr>
          <w:rFonts w:cs="Geneva"/>
          <w:szCs w:val="26"/>
          <w:lang w:eastAsia="es-ES_tradnl"/>
        </w:rPr>
        <w:t xml:space="preserve">                               </w:t>
      </w:r>
      <w:r>
        <w:rPr>
          <w:rFonts w:cs="Geneva"/>
          <w:noProof/>
          <w:szCs w:val="26"/>
          <w:lang w:eastAsia="es-ES_tradnl"/>
        </w:rPr>
        <w:drawing>
          <wp:inline distT="0" distB="0" distL="0" distR="0">
            <wp:extent cx="4899660" cy="2950210"/>
            <wp:effectExtent l="0" t="0" r="0" b="0"/>
            <wp:docPr id="7" name="O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78001" cy="6858000"/>
                      <a:chOff x="565998" y="0"/>
                      <a:chExt cx="8578001" cy="6858000"/>
                    </a:xfrm>
                  </a:grpSpPr>
                  <a:sp>
                    <a:nvSpPr>
                      <a:cNvPr id="6" name="Rectángulo redondeado 5"/>
                      <a:cNvSpPr/>
                    </a:nvSpPr>
                    <a:spPr>
                      <a:xfrm>
                        <a:off x="3561656" y="0"/>
                        <a:ext cx="3478826" cy="635064"/>
                      </a:xfrm>
                      <a:prstGeom prst="roundRect">
                        <a:avLst/>
                      </a:prstGeom>
                    </a:spPr>
                    <a:txSp>
                      <a:txBody>
                        <a:bodyPr anchor="ctr"/>
                        <a:lstStyle>
                          <a:defPPr>
                            <a:defRPr lang="es-ES_tradnl"/>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s-ES_tradnl" sz="2400" dirty="0">
                              <a:solidFill>
                                <a:schemeClr val="tx1"/>
                              </a:solidFill>
                            </a:rPr>
                            <a:t>Actividad Profesional</a:t>
                          </a:r>
                        </a:p>
                      </a:txBody>
                      <a:useSpRect/>
                    </a:txSp>
                    <a:style>
                      <a:lnRef idx="0">
                        <a:schemeClr val="accent6"/>
                      </a:lnRef>
                      <a:fillRef idx="3">
                        <a:schemeClr val="accent6"/>
                      </a:fillRef>
                      <a:effectRef idx="3">
                        <a:schemeClr val="accent6"/>
                      </a:effectRef>
                      <a:fontRef idx="minor">
                        <a:schemeClr val="lt1"/>
                      </a:fontRef>
                    </a:style>
                  </a:sp>
                  <a:sp>
                    <a:nvSpPr>
                      <a:cNvPr id="7" name="Flecha derecha 6"/>
                      <a:cNvSpPr/>
                    </a:nvSpPr>
                    <a:spPr>
                      <a:xfrm rot="5400000">
                        <a:off x="4772983" y="-162117"/>
                        <a:ext cx="1056172" cy="2650535"/>
                      </a:xfrm>
                      <a:prstGeom prst="rightArrow">
                        <a:avLst/>
                      </a:prstGeom>
                      <a:solidFill>
                        <a:schemeClr val="tx2">
                          <a:lumMod val="60000"/>
                          <a:lumOff val="40000"/>
                        </a:schemeClr>
                      </a:solidFill>
                    </a:spPr>
                    <a:txSp>
                      <a:txBody>
                        <a:bodyPr vert="vert270" anchor="ctr">
                          <a:normAutofit fontScale="92500"/>
                        </a:bodyPr>
                        <a:lstStyle>
                          <a:defPPr>
                            <a:defRPr lang="es-ES_tradnl"/>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a:defRPr/>
                          </a:pPr>
                          <a:endParaRPr lang="es-ES_tradnl" b="1" i="1" dirty="0">
                            <a:solidFill>
                              <a:schemeClr val="tx1"/>
                            </a:solidFill>
                          </a:endParaRPr>
                        </a:p>
                        <a:p>
                          <a:pPr algn="ctr">
                            <a:defRPr/>
                          </a:pPr>
                          <a:r>
                            <a:rPr lang="es-ES_tradnl" b="1" i="1" dirty="0">
                              <a:solidFill>
                                <a:schemeClr val="tx1"/>
                              </a:solidFill>
                            </a:rPr>
                            <a:t>Se desarrolla en </a:t>
                          </a:r>
                        </a:p>
                      </a:txBody>
                      <a:useSpRect/>
                    </a:txSp>
                    <a:style>
                      <a:lnRef idx="1">
                        <a:schemeClr val="accent5"/>
                      </a:lnRef>
                      <a:fillRef idx="3">
                        <a:schemeClr val="accent5"/>
                      </a:fillRef>
                      <a:effectRef idx="2">
                        <a:schemeClr val="accent5"/>
                      </a:effectRef>
                      <a:fontRef idx="minor">
                        <a:schemeClr val="lt1"/>
                      </a:fontRef>
                    </a:style>
                  </a:sp>
                  <a:sp>
                    <a:nvSpPr>
                      <a:cNvPr id="8" name="Elipse 7"/>
                      <a:cNvSpPr/>
                    </a:nvSpPr>
                    <a:spPr>
                      <a:xfrm>
                        <a:off x="2353732" y="842150"/>
                        <a:ext cx="2056924" cy="1035371"/>
                      </a:xfrm>
                      <a:prstGeom prst="ellipse">
                        <a:avLst/>
                      </a:prstGeom>
                      <a:blipFill dpi="0" rotWithShape="1">
                        <a:blip r:embed="rId10">
                          <a:alphaModFix amt="51000"/>
                          <a:duotone>
                            <a:schemeClr val="accent6">
                              <a:shade val="30000"/>
                              <a:satMod val="150000"/>
                            </a:schemeClr>
                            <a:schemeClr val="accent6">
                              <a:alpha val="10000"/>
                              <a:satMod val="120000"/>
                            </a:schemeClr>
                          </a:duotone>
                        </a:blip>
                        <a:srcRect/>
                        <a:stretch>
                          <a:fillRect/>
                        </a:stretch>
                      </a:blipFill>
                    </a:spPr>
                    <a:txSp>
                      <a:txBody>
                        <a:bodyPr anchor="ctr"/>
                        <a:lstStyle>
                          <a:defPPr>
                            <a:defRPr lang="es-ES_tradnl"/>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a:defRPr/>
                          </a:pPr>
                          <a:r>
                            <a:rPr lang="es-ES_tradnl" sz="2000" b="1" i="1" dirty="0">
                              <a:solidFill>
                                <a:schemeClr val="tx1"/>
                              </a:solidFill>
                            </a:rPr>
                            <a:t>Contexto Social</a:t>
                          </a:r>
                        </a:p>
                      </a:txBody>
                      <a:useSpRect/>
                    </a:txSp>
                    <a:style>
                      <a:lnRef idx="1">
                        <a:schemeClr val="accent6"/>
                      </a:lnRef>
                      <a:fillRef idx="3">
                        <a:schemeClr val="accent6"/>
                      </a:fillRef>
                      <a:effectRef idx="2">
                        <a:schemeClr val="accent6"/>
                      </a:effectRef>
                      <a:fontRef idx="minor">
                        <a:schemeClr val="lt1"/>
                      </a:fontRef>
                    </a:style>
                  </a:sp>
                  <a:sp>
                    <a:nvSpPr>
                      <a:cNvPr id="9" name="Elipse 8"/>
                      <a:cNvSpPr/>
                    </a:nvSpPr>
                    <a:spPr>
                      <a:xfrm>
                        <a:off x="2353733" y="1691237"/>
                        <a:ext cx="2888940" cy="904426"/>
                      </a:xfrm>
                      <a:prstGeom prst="ellipse">
                        <a:avLst/>
                      </a:prstGeom>
                      <a:blipFill dpi="0" rotWithShape="1">
                        <a:blip r:embed="rId10">
                          <a:alphaModFix amt="51000"/>
                          <a:duotone>
                            <a:schemeClr val="accent6">
                              <a:shade val="30000"/>
                              <a:satMod val="150000"/>
                            </a:schemeClr>
                            <a:schemeClr val="accent6">
                              <a:alpha val="10000"/>
                              <a:satMod val="120000"/>
                            </a:schemeClr>
                          </a:duotone>
                        </a:blip>
                        <a:srcRect/>
                        <a:stretch>
                          <a:fillRect/>
                        </a:stretch>
                      </a:blipFill>
                    </a:spPr>
                    <a:txSp>
                      <a:txBody>
                        <a:bodyPr anchor="ctr"/>
                        <a:lstStyle>
                          <a:defPPr>
                            <a:defRPr lang="es-ES_tradnl"/>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a:defRPr/>
                          </a:pPr>
                          <a:r>
                            <a:rPr lang="es-ES_tradnl" sz="2000" b="1" i="1" dirty="0">
                              <a:solidFill>
                                <a:schemeClr val="tx1"/>
                              </a:solidFill>
                            </a:rPr>
                            <a:t>Globalización</a:t>
                          </a:r>
                        </a:p>
                      </a:txBody>
                      <a:useSpRect/>
                    </a:txSp>
                    <a:style>
                      <a:lnRef idx="1">
                        <a:schemeClr val="accent6"/>
                      </a:lnRef>
                      <a:fillRef idx="3">
                        <a:schemeClr val="accent6"/>
                      </a:fillRef>
                      <a:effectRef idx="2">
                        <a:schemeClr val="accent6"/>
                      </a:effectRef>
                      <a:fontRef idx="minor">
                        <a:schemeClr val="lt1"/>
                      </a:fontRef>
                    </a:style>
                  </a:sp>
                  <a:sp>
                    <a:nvSpPr>
                      <a:cNvPr id="10" name="Elipse 9"/>
                      <a:cNvSpPr/>
                    </a:nvSpPr>
                    <a:spPr>
                      <a:xfrm>
                        <a:off x="4181337" y="1991403"/>
                        <a:ext cx="2859145" cy="1401134"/>
                      </a:xfrm>
                      <a:prstGeom prst="ellipse">
                        <a:avLst/>
                      </a:prstGeom>
                      <a:blipFill dpi="0" rotWithShape="1">
                        <a:blip r:embed="rId10">
                          <a:alphaModFix amt="51000"/>
                          <a:duotone>
                            <a:schemeClr val="accent6">
                              <a:shade val="30000"/>
                              <a:satMod val="150000"/>
                            </a:schemeClr>
                            <a:schemeClr val="accent6">
                              <a:alpha val="10000"/>
                              <a:satMod val="120000"/>
                            </a:schemeClr>
                          </a:duotone>
                        </a:blip>
                        <a:srcRect/>
                        <a:stretch>
                          <a:fillRect/>
                        </a:stretch>
                      </a:blipFill>
                    </a:spPr>
                    <a:txSp>
                      <a:txBody>
                        <a:bodyPr anchor="ctr"/>
                        <a:lstStyle>
                          <a:defPPr>
                            <a:defRPr lang="es-ES_tradnl"/>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a:defRPr/>
                          </a:pPr>
                          <a:r>
                            <a:rPr lang="es-ES_tradnl" sz="2000" b="1" i="1" dirty="0">
                              <a:solidFill>
                                <a:schemeClr val="tx1"/>
                              </a:solidFill>
                            </a:rPr>
                            <a:t>Sociedad del conocimiento</a:t>
                          </a:r>
                        </a:p>
                      </a:txBody>
                      <a:useSpRect/>
                    </a:txSp>
                    <a:style>
                      <a:lnRef idx="1">
                        <a:schemeClr val="accent6"/>
                      </a:lnRef>
                      <a:fillRef idx="3">
                        <a:schemeClr val="accent6"/>
                      </a:fillRef>
                      <a:effectRef idx="2">
                        <a:schemeClr val="accent6"/>
                      </a:effectRef>
                      <a:fontRef idx="minor">
                        <a:schemeClr val="lt1"/>
                      </a:fontRef>
                    </a:style>
                  </a:sp>
                  <a:sp>
                    <a:nvSpPr>
                      <a:cNvPr id="11" name="Elipse 10"/>
                      <a:cNvSpPr/>
                    </a:nvSpPr>
                    <a:spPr>
                      <a:xfrm>
                        <a:off x="5703001" y="1070037"/>
                        <a:ext cx="2029316" cy="1242397"/>
                      </a:xfrm>
                      <a:prstGeom prst="ellipse">
                        <a:avLst/>
                      </a:prstGeom>
                      <a:blipFill dpi="0" rotWithShape="1">
                        <a:blip r:embed="rId10">
                          <a:alphaModFix amt="51000"/>
                          <a:duotone>
                            <a:schemeClr val="accent6">
                              <a:shade val="30000"/>
                              <a:satMod val="150000"/>
                            </a:schemeClr>
                            <a:schemeClr val="accent6">
                              <a:alpha val="10000"/>
                              <a:satMod val="120000"/>
                            </a:schemeClr>
                          </a:duotone>
                        </a:blip>
                        <a:srcRect/>
                        <a:stretch>
                          <a:fillRect/>
                        </a:stretch>
                      </a:blipFill>
                    </a:spPr>
                    <a:txSp>
                      <a:txBody>
                        <a:bodyPr anchor="ctr"/>
                        <a:lstStyle>
                          <a:defPPr>
                            <a:defRPr lang="es-ES_tradnl"/>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a:defRPr/>
                          </a:pPr>
                          <a:r>
                            <a:rPr lang="es-ES_tradnl" sz="2000" b="1" i="1" dirty="0">
                              <a:solidFill>
                                <a:schemeClr val="tx1"/>
                              </a:solidFill>
                            </a:rPr>
                            <a:t>Sociedad post moderna</a:t>
                          </a:r>
                        </a:p>
                      </a:txBody>
                      <a:useSpRect/>
                    </a:txSp>
                    <a:style>
                      <a:lnRef idx="1">
                        <a:schemeClr val="accent6"/>
                      </a:lnRef>
                      <a:fillRef idx="3">
                        <a:schemeClr val="accent6"/>
                      </a:fillRef>
                      <a:effectRef idx="2">
                        <a:schemeClr val="accent6"/>
                      </a:effectRef>
                      <a:fontRef idx="minor">
                        <a:schemeClr val="lt1"/>
                      </a:fontRef>
                    </a:style>
                  </a:sp>
                  <a:cxnSp>
                    <a:nvCxnSpPr>
                      <a:cNvPr id="13" name="Conector recto de flecha 12"/>
                      <a:cNvCxnSpPr/>
                    </a:nvCxnSpPr>
                    <a:spPr>
                      <a:xfrm rot="5400000">
                        <a:off x="1925638" y="3222625"/>
                        <a:ext cx="2789237" cy="2278063"/>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15" name="Conector recto de flecha 14"/>
                      <a:cNvCxnSpPr/>
                    </a:nvCxnSpPr>
                    <a:spPr>
                      <a:xfrm rot="5400000">
                        <a:off x="3675856" y="3545682"/>
                        <a:ext cx="1344613" cy="869950"/>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17" name="Conector recto de flecha 16"/>
                      <a:cNvCxnSpPr/>
                    </a:nvCxnSpPr>
                    <a:spPr>
                      <a:xfrm rot="5400000">
                        <a:off x="3729832" y="4393406"/>
                        <a:ext cx="2571750" cy="569913"/>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19" name="Conector recto de flecha 18"/>
                      <a:cNvCxnSpPr/>
                    </a:nvCxnSpPr>
                    <a:spPr>
                      <a:xfrm rot="16200000" flipH="1">
                        <a:off x="5168900" y="3925888"/>
                        <a:ext cx="1425575" cy="358775"/>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21" name="Conector recto de flecha 20"/>
                      <a:cNvCxnSpPr>
                        <a:endCxn id="0" idx="0"/>
                      </a:cNvCxnSpPr>
                    </a:nvCxnSpPr>
                    <a:spPr>
                      <a:xfrm>
                        <a:off x="6405563" y="2967038"/>
                        <a:ext cx="1797050" cy="1211262"/>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26" name="Conector recto de flecha 25"/>
                      <a:cNvCxnSpPr/>
                    </a:nvCxnSpPr>
                    <a:spPr>
                      <a:xfrm rot="16200000" flipH="1">
                        <a:off x="5430044" y="3939381"/>
                        <a:ext cx="2655888" cy="1393825"/>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sp>
                    <a:nvSpPr>
                      <a:cNvPr id="40" name="Rectángulo redondeado 39"/>
                      <a:cNvSpPr/>
                    </a:nvSpPr>
                    <a:spPr>
                      <a:xfrm>
                        <a:off x="565998" y="5756992"/>
                        <a:ext cx="2346828" cy="731705"/>
                      </a:xfrm>
                      <a:prstGeom prst="roundRect">
                        <a:avLst/>
                      </a:prstGeom>
                    </a:spPr>
                    <a:txSp>
                      <a:txBody>
                        <a:bodyPr anchor="ctr"/>
                        <a:lstStyle>
                          <a:defPPr>
                            <a:defRPr lang="es-ES_tradnl"/>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s-ES_tradnl" dirty="0">
                              <a:solidFill>
                                <a:schemeClr val="tx1"/>
                              </a:solidFill>
                            </a:rPr>
                            <a:t>Repercusiones amplias de roles</a:t>
                          </a:r>
                        </a:p>
                      </a:txBody>
                      <a:useSpRect/>
                    </a:txSp>
                    <a:style>
                      <a:lnRef idx="0">
                        <a:schemeClr val="accent6"/>
                      </a:lnRef>
                      <a:fillRef idx="3">
                        <a:schemeClr val="accent6"/>
                      </a:fillRef>
                      <a:effectRef idx="3">
                        <a:schemeClr val="accent6"/>
                      </a:effectRef>
                      <a:fontRef idx="minor">
                        <a:schemeClr val="lt1"/>
                      </a:fontRef>
                    </a:style>
                  </a:sp>
                  <a:sp>
                    <a:nvSpPr>
                      <a:cNvPr id="43" name="Rectángulo redondeado 42"/>
                      <a:cNvSpPr/>
                    </a:nvSpPr>
                    <a:spPr>
                      <a:xfrm>
                        <a:off x="3095419" y="4652531"/>
                        <a:ext cx="1635334" cy="948608"/>
                      </a:xfrm>
                      <a:prstGeom prst="roundRect">
                        <a:avLst/>
                      </a:prstGeom>
                    </a:spPr>
                    <a:txSp>
                      <a:txBody>
                        <a:bodyPr anchor="ctr"/>
                        <a:lstStyle>
                          <a:defPPr>
                            <a:defRPr lang="es-ES_tradnl"/>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s-ES_tradnl" dirty="0">
                              <a:solidFill>
                                <a:schemeClr val="tx1"/>
                              </a:solidFill>
                            </a:rPr>
                            <a:t>Información</a:t>
                          </a:r>
                        </a:p>
                      </a:txBody>
                      <a:useSpRect/>
                    </a:txSp>
                    <a:style>
                      <a:lnRef idx="0">
                        <a:schemeClr val="accent6"/>
                      </a:lnRef>
                      <a:fillRef idx="3">
                        <a:schemeClr val="accent6"/>
                      </a:fillRef>
                      <a:effectRef idx="3">
                        <a:schemeClr val="accent6"/>
                      </a:effectRef>
                      <a:fontRef idx="minor">
                        <a:schemeClr val="lt1"/>
                      </a:fontRef>
                    </a:style>
                  </a:sp>
                  <a:sp>
                    <a:nvSpPr>
                      <a:cNvPr id="45" name="Rectángulo redondeado 44"/>
                      <a:cNvSpPr/>
                    </a:nvSpPr>
                    <a:spPr>
                      <a:xfrm>
                        <a:off x="3713511" y="5964082"/>
                        <a:ext cx="2346828" cy="893918"/>
                      </a:xfrm>
                      <a:prstGeom prst="roundRect">
                        <a:avLst/>
                      </a:prstGeom>
                    </a:spPr>
                    <a:txSp>
                      <a:txBody>
                        <a:bodyPr anchor="ctr"/>
                        <a:lstStyle>
                          <a:defPPr>
                            <a:defRPr lang="es-ES_tradnl"/>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s-ES_tradnl" dirty="0">
                              <a:solidFill>
                                <a:schemeClr val="tx1"/>
                              </a:solidFill>
                            </a:rPr>
                            <a:t>Nuevas Tecnologías</a:t>
                          </a:r>
                        </a:p>
                      </a:txBody>
                      <a:useSpRect/>
                    </a:txSp>
                    <a:style>
                      <a:lnRef idx="0">
                        <a:schemeClr val="accent6"/>
                      </a:lnRef>
                      <a:fillRef idx="3">
                        <a:schemeClr val="accent6"/>
                      </a:fillRef>
                      <a:effectRef idx="3">
                        <a:schemeClr val="accent6"/>
                      </a:effectRef>
                      <a:fontRef idx="minor">
                        <a:schemeClr val="lt1"/>
                      </a:fontRef>
                    </a:style>
                  </a:sp>
                  <a:sp>
                    <a:nvSpPr>
                      <a:cNvPr id="46" name="Rectángulo redondeado 45"/>
                      <a:cNvSpPr/>
                    </a:nvSpPr>
                    <a:spPr>
                      <a:xfrm>
                        <a:off x="5242672" y="4817911"/>
                        <a:ext cx="1635334" cy="948608"/>
                      </a:xfrm>
                      <a:prstGeom prst="roundRect">
                        <a:avLst/>
                      </a:prstGeom>
                    </a:spPr>
                    <a:txSp>
                      <a:txBody>
                        <a:bodyPr anchor="ctr"/>
                        <a:lstStyle>
                          <a:defPPr>
                            <a:defRPr lang="es-ES_tradnl"/>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s-ES_tradnl" dirty="0">
                              <a:solidFill>
                                <a:schemeClr val="tx1"/>
                              </a:solidFill>
                            </a:rPr>
                            <a:t>Globalización</a:t>
                          </a:r>
                        </a:p>
                      </a:txBody>
                      <a:useSpRect/>
                    </a:txSp>
                    <a:style>
                      <a:lnRef idx="0">
                        <a:schemeClr val="accent6"/>
                      </a:lnRef>
                      <a:fillRef idx="3">
                        <a:schemeClr val="accent6"/>
                      </a:fillRef>
                      <a:effectRef idx="3">
                        <a:schemeClr val="accent6"/>
                      </a:effectRef>
                      <a:fontRef idx="minor">
                        <a:schemeClr val="lt1"/>
                      </a:fontRef>
                    </a:style>
                  </a:sp>
                  <a:sp>
                    <a:nvSpPr>
                      <a:cNvPr id="47" name="Rectángulo redondeado 46"/>
                      <a:cNvSpPr/>
                    </a:nvSpPr>
                    <a:spPr>
                      <a:xfrm>
                        <a:off x="6558903" y="5964082"/>
                        <a:ext cx="2346828" cy="731705"/>
                      </a:xfrm>
                      <a:prstGeom prst="roundRect">
                        <a:avLst/>
                      </a:prstGeom>
                    </a:spPr>
                    <a:txSp>
                      <a:txBody>
                        <a:bodyPr anchor="ctr"/>
                        <a:lstStyle>
                          <a:defPPr>
                            <a:defRPr lang="es-ES_tradnl"/>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s-ES_tradnl" dirty="0">
                              <a:solidFill>
                                <a:schemeClr val="tx1"/>
                              </a:solidFill>
                            </a:rPr>
                            <a:t>Reconversión de la escuela</a:t>
                          </a:r>
                        </a:p>
                      </a:txBody>
                      <a:useSpRect/>
                    </a:txSp>
                    <a:style>
                      <a:lnRef idx="0">
                        <a:schemeClr val="accent6"/>
                      </a:lnRef>
                      <a:fillRef idx="3">
                        <a:schemeClr val="accent6"/>
                      </a:fillRef>
                      <a:effectRef idx="3">
                        <a:schemeClr val="accent6"/>
                      </a:effectRef>
                      <a:fontRef idx="minor">
                        <a:schemeClr val="lt1"/>
                      </a:fontRef>
                    </a:style>
                  </a:sp>
                  <a:sp>
                    <a:nvSpPr>
                      <a:cNvPr id="49" name="Rectángulo redondeado 48"/>
                      <a:cNvSpPr/>
                    </a:nvSpPr>
                    <a:spPr>
                      <a:xfrm>
                        <a:off x="7261361" y="4178227"/>
                        <a:ext cx="1882638" cy="1247428"/>
                      </a:xfrm>
                      <a:prstGeom prst="roundRect">
                        <a:avLst/>
                      </a:prstGeom>
                    </a:spPr>
                    <a:txSp>
                      <a:txBody>
                        <a:bodyPr anchor="ctr"/>
                        <a:lstStyle>
                          <a:defPPr>
                            <a:defRPr lang="es-ES_tradnl"/>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s-ES_tradnl" dirty="0">
                              <a:solidFill>
                                <a:schemeClr val="tx1"/>
                              </a:solidFill>
                            </a:rPr>
                            <a:t>Redefinición de la profesión docente</a:t>
                          </a:r>
                        </a:p>
                      </a:txBody>
                      <a:useSpRect/>
                    </a:txSp>
                    <a:style>
                      <a:lnRef idx="0">
                        <a:schemeClr val="accent6"/>
                      </a:lnRef>
                      <a:fillRef idx="3">
                        <a:schemeClr val="accent6"/>
                      </a:fillRef>
                      <a:effectRef idx="3">
                        <a:schemeClr val="accent6"/>
                      </a:effectRef>
                      <a:fontRef idx="minor">
                        <a:schemeClr val="lt1"/>
                      </a:fontRef>
                    </a:style>
                  </a:sp>
                </lc:lockedCanvas>
              </a:graphicData>
            </a:graphic>
          </wp:inline>
        </w:drawing>
      </w:r>
    </w:p>
    <w:p w:rsidR="00AD578C" w:rsidRDefault="00AD578C" w:rsidP="00AD578C">
      <w:pPr>
        <w:widowControl w:val="0"/>
        <w:autoSpaceDE w:val="0"/>
        <w:autoSpaceDN w:val="0"/>
        <w:adjustRightInd w:val="0"/>
        <w:jc w:val="both"/>
        <w:rPr>
          <w:rFonts w:cs="Geneva"/>
          <w:szCs w:val="26"/>
          <w:lang w:eastAsia="es-ES_tradnl"/>
        </w:rPr>
      </w:pPr>
    </w:p>
    <w:p w:rsidR="00AD578C" w:rsidRDefault="00AD578C" w:rsidP="00AD578C">
      <w:pPr>
        <w:widowControl w:val="0"/>
        <w:autoSpaceDE w:val="0"/>
        <w:autoSpaceDN w:val="0"/>
        <w:adjustRightInd w:val="0"/>
        <w:jc w:val="both"/>
        <w:rPr>
          <w:rFonts w:cs="Geneva"/>
          <w:szCs w:val="26"/>
          <w:lang w:eastAsia="es-ES_tradnl"/>
        </w:rPr>
      </w:pPr>
      <w:r w:rsidRPr="001B3CF6">
        <w:rPr>
          <w:rFonts w:cs="Geneva"/>
          <w:b/>
          <w:i/>
          <w:color w:val="232323"/>
          <w:sz w:val="16"/>
          <w:szCs w:val="26"/>
        </w:rPr>
        <w:t xml:space="preserve">Presentación: </w:t>
      </w:r>
      <w:r w:rsidRPr="001B3CF6">
        <w:rPr>
          <w:rFonts w:cs="Arial Black"/>
          <w:b/>
          <w:bCs/>
          <w:color w:val="232323"/>
          <w:sz w:val="16"/>
          <w:szCs w:val="26"/>
        </w:rPr>
        <w:t xml:space="preserve">Presentación Capítulo 10: El Profesor como gestor del aula. Juan Carlos </w:t>
      </w:r>
      <w:proofErr w:type="spellStart"/>
      <w:r w:rsidRPr="001B3CF6">
        <w:rPr>
          <w:rFonts w:cs="Arial Black"/>
          <w:b/>
          <w:bCs/>
          <w:color w:val="232323"/>
          <w:sz w:val="16"/>
          <w:szCs w:val="26"/>
        </w:rPr>
        <w:t>Torrego</w:t>
      </w:r>
      <w:proofErr w:type="spellEnd"/>
      <w:r w:rsidRPr="001B3CF6">
        <w:rPr>
          <w:rFonts w:cs="Arial Black"/>
          <w:b/>
          <w:bCs/>
          <w:color w:val="232323"/>
          <w:sz w:val="16"/>
          <w:szCs w:val="26"/>
        </w:rPr>
        <w:t xml:space="preserve"> (</w:t>
      </w:r>
      <w:proofErr w:type="spellStart"/>
      <w:r w:rsidRPr="001B3CF6">
        <w:rPr>
          <w:rFonts w:cs="Arial Black"/>
          <w:b/>
          <w:bCs/>
          <w:color w:val="232323"/>
          <w:sz w:val="16"/>
          <w:szCs w:val="26"/>
        </w:rPr>
        <w:t>pp</w:t>
      </w:r>
      <w:proofErr w:type="spellEnd"/>
      <w:r w:rsidRPr="001B3CF6">
        <w:rPr>
          <w:rFonts w:cs="Arial Black"/>
          <w:b/>
          <w:bCs/>
          <w:color w:val="232323"/>
          <w:sz w:val="16"/>
          <w:szCs w:val="26"/>
        </w:rPr>
        <w:t xml:space="preserve">: 197 a 214). En Didáctica General. La Práctica de la Enseñanza en Educación Infantil, Primaria y Secundaria. Madrid, </w:t>
      </w:r>
      <w:proofErr w:type="spellStart"/>
      <w:r w:rsidRPr="001B3CF6">
        <w:rPr>
          <w:rFonts w:cs="Arial Black"/>
          <w:b/>
          <w:bCs/>
          <w:color w:val="232323"/>
          <w:sz w:val="16"/>
          <w:szCs w:val="26"/>
        </w:rPr>
        <w:t>Mc</w:t>
      </w:r>
      <w:proofErr w:type="spellEnd"/>
      <w:r w:rsidRPr="001B3CF6">
        <w:rPr>
          <w:rFonts w:cs="Arial Black"/>
          <w:b/>
          <w:bCs/>
          <w:color w:val="232323"/>
          <w:sz w:val="16"/>
          <w:szCs w:val="26"/>
        </w:rPr>
        <w:t xml:space="preserve"> </w:t>
      </w:r>
      <w:proofErr w:type="spellStart"/>
      <w:r w:rsidRPr="001B3CF6">
        <w:rPr>
          <w:rFonts w:cs="Arial Black"/>
          <w:b/>
          <w:bCs/>
          <w:color w:val="232323"/>
          <w:sz w:val="16"/>
          <w:szCs w:val="26"/>
        </w:rPr>
        <w:t>Graw</w:t>
      </w:r>
      <w:proofErr w:type="spellEnd"/>
      <w:r w:rsidRPr="001B3CF6">
        <w:rPr>
          <w:rFonts w:cs="Arial Black"/>
          <w:b/>
          <w:bCs/>
          <w:color w:val="232323"/>
          <w:sz w:val="16"/>
          <w:szCs w:val="26"/>
        </w:rPr>
        <w:t xml:space="preserve"> Hill, 2008.</w:t>
      </w:r>
      <w:r w:rsidRPr="001B3CF6">
        <w:rPr>
          <w:rFonts w:cs="Geneva"/>
          <w:b/>
          <w:i/>
          <w:color w:val="232323"/>
          <w:sz w:val="16"/>
          <w:szCs w:val="26"/>
        </w:rPr>
        <w:t xml:space="preserve">Página </w:t>
      </w:r>
      <w:proofErr w:type="spellStart"/>
      <w:r w:rsidRPr="001B3CF6">
        <w:rPr>
          <w:rFonts w:cs="Geneva"/>
          <w:b/>
          <w:i/>
          <w:color w:val="232323"/>
          <w:sz w:val="16"/>
          <w:szCs w:val="26"/>
        </w:rPr>
        <w:t>web</w:t>
      </w:r>
      <w:proofErr w:type="spellEnd"/>
      <w:r w:rsidRPr="001B3CF6">
        <w:rPr>
          <w:rFonts w:cs="Geneva"/>
          <w:b/>
          <w:i/>
          <w:color w:val="232323"/>
          <w:sz w:val="16"/>
          <w:szCs w:val="26"/>
        </w:rPr>
        <w:t>: Educar es transformar. Link: http://kazolas.wix.com/educaytransforma#!bibliografia-bloque-i/ct7f</w:t>
      </w:r>
    </w:p>
    <w:p w:rsidR="00AD578C" w:rsidRDefault="00AD578C" w:rsidP="00AD578C">
      <w:pPr>
        <w:widowControl w:val="0"/>
        <w:autoSpaceDE w:val="0"/>
        <w:autoSpaceDN w:val="0"/>
        <w:adjustRightInd w:val="0"/>
        <w:jc w:val="both"/>
        <w:rPr>
          <w:rFonts w:cs="Geneva"/>
          <w:szCs w:val="26"/>
          <w:lang w:eastAsia="es-ES_tradnl"/>
        </w:rPr>
      </w:pPr>
    </w:p>
    <w:p w:rsidR="00AD578C" w:rsidRDefault="00AD578C" w:rsidP="00AD578C">
      <w:pPr>
        <w:widowControl w:val="0"/>
        <w:autoSpaceDE w:val="0"/>
        <w:autoSpaceDN w:val="0"/>
        <w:adjustRightInd w:val="0"/>
        <w:jc w:val="both"/>
        <w:rPr>
          <w:rFonts w:cs="Geneva"/>
          <w:szCs w:val="26"/>
          <w:lang w:eastAsia="es-ES_tradnl"/>
        </w:rPr>
      </w:pPr>
      <w:r>
        <w:rPr>
          <w:rFonts w:cs="Geneva"/>
          <w:szCs w:val="26"/>
          <w:lang w:eastAsia="es-ES_tradnl"/>
        </w:rPr>
        <w:tab/>
        <w:t xml:space="preserve"> </w:t>
      </w:r>
    </w:p>
    <w:p w:rsidR="00AD578C" w:rsidRDefault="00AD578C" w:rsidP="00AD578C">
      <w:pPr>
        <w:widowControl w:val="0"/>
        <w:autoSpaceDE w:val="0"/>
        <w:autoSpaceDN w:val="0"/>
        <w:adjustRightInd w:val="0"/>
        <w:jc w:val="both"/>
        <w:rPr>
          <w:rFonts w:cs="Geneva"/>
          <w:szCs w:val="26"/>
          <w:lang w:eastAsia="es-ES_tradnl"/>
        </w:rPr>
      </w:pPr>
    </w:p>
    <w:p w:rsidR="00AD578C" w:rsidRDefault="00AD578C" w:rsidP="00AD578C">
      <w:pPr>
        <w:widowControl w:val="0"/>
        <w:autoSpaceDE w:val="0"/>
        <w:autoSpaceDN w:val="0"/>
        <w:adjustRightInd w:val="0"/>
        <w:ind w:firstLine="708"/>
        <w:jc w:val="both"/>
        <w:rPr>
          <w:rFonts w:cs="Arial"/>
          <w:szCs w:val="26"/>
          <w:lang w:eastAsia="es-ES_tradnl"/>
        </w:rPr>
      </w:pPr>
      <w:r>
        <w:rPr>
          <w:rFonts w:cs="Geneva"/>
          <w:szCs w:val="26"/>
          <w:lang w:eastAsia="es-ES_tradnl"/>
        </w:rPr>
        <w:t xml:space="preserve">Entendiendo, a partir de ello,  como desafíos de la gestión educativa del siglo XXI, el </w:t>
      </w:r>
      <w:r>
        <w:rPr>
          <w:rFonts w:cs="Arial"/>
          <w:szCs w:val="26"/>
          <w:lang w:eastAsia="es-ES_tradnl"/>
        </w:rPr>
        <w:t xml:space="preserve">modificar </w:t>
      </w:r>
      <w:r w:rsidRPr="009C59CF">
        <w:rPr>
          <w:rFonts w:cs="Arial"/>
          <w:szCs w:val="26"/>
          <w:lang w:eastAsia="es-ES_tradnl"/>
        </w:rPr>
        <w:t>el proyecto de sociedad plant</w:t>
      </w:r>
      <w:r>
        <w:rPr>
          <w:rFonts w:cs="Arial"/>
          <w:szCs w:val="26"/>
          <w:lang w:eastAsia="es-ES_tradnl"/>
        </w:rPr>
        <w:t>eado inicialmente por el hombre y el</w:t>
      </w:r>
      <w:r w:rsidRPr="009C59CF">
        <w:rPr>
          <w:rFonts w:cs="Arial"/>
          <w:szCs w:val="26"/>
          <w:lang w:eastAsia="es-ES_tradnl"/>
        </w:rPr>
        <w:t xml:space="preserve"> </w:t>
      </w:r>
      <w:r>
        <w:rPr>
          <w:rFonts w:cs="Arial"/>
          <w:szCs w:val="26"/>
          <w:lang w:eastAsia="es-ES_tradnl"/>
        </w:rPr>
        <w:t>abordaje de la</w:t>
      </w:r>
      <w:r w:rsidRPr="009C59CF">
        <w:rPr>
          <w:rFonts w:cs="Arial"/>
          <w:szCs w:val="26"/>
          <w:lang w:eastAsia="es-ES_tradnl"/>
        </w:rPr>
        <w:t xml:space="preserve"> educación</w:t>
      </w:r>
      <w:r>
        <w:rPr>
          <w:rFonts w:cs="Arial"/>
          <w:szCs w:val="26"/>
          <w:lang w:eastAsia="es-ES_tradnl"/>
        </w:rPr>
        <w:t>, como un elemento</w:t>
      </w:r>
      <w:r w:rsidRPr="009C59CF">
        <w:rPr>
          <w:rFonts w:cs="Arial"/>
          <w:szCs w:val="26"/>
          <w:lang w:eastAsia="es-ES_tradnl"/>
        </w:rPr>
        <w:t xml:space="preserve"> catalizador de conflictos, </w:t>
      </w:r>
      <w:r>
        <w:rPr>
          <w:rFonts w:cs="Arial"/>
          <w:szCs w:val="26"/>
          <w:lang w:eastAsia="es-ES_tradnl"/>
        </w:rPr>
        <w:t>de manera que el ser humano pueda</w:t>
      </w:r>
      <w:r w:rsidRPr="009C59CF">
        <w:rPr>
          <w:rFonts w:cs="Arial"/>
          <w:szCs w:val="26"/>
          <w:lang w:eastAsia="es-ES_tradnl"/>
        </w:rPr>
        <w:t xml:space="preserve"> comprenderse a sí mismo y a los demás</w:t>
      </w:r>
      <w:r>
        <w:rPr>
          <w:rFonts w:cs="Arial"/>
          <w:szCs w:val="26"/>
          <w:lang w:eastAsia="es-ES_tradnl"/>
        </w:rPr>
        <w:t xml:space="preserve"> seres humanos, a partir de</w:t>
      </w:r>
      <w:r w:rsidRPr="009C59CF">
        <w:rPr>
          <w:rFonts w:cs="Arial"/>
          <w:szCs w:val="26"/>
          <w:lang w:eastAsia="es-ES_tradnl"/>
        </w:rPr>
        <w:t xml:space="preserve"> un mejor conocimiento del mundo</w:t>
      </w:r>
      <w:r>
        <w:rPr>
          <w:rFonts w:cs="Arial"/>
          <w:szCs w:val="26"/>
          <w:lang w:eastAsia="es-ES_tradnl"/>
        </w:rPr>
        <w:t>,</w:t>
      </w:r>
      <w:r w:rsidRPr="009C59CF">
        <w:rPr>
          <w:rFonts w:cs="Arial"/>
          <w:szCs w:val="26"/>
          <w:lang w:eastAsia="es-ES_tradnl"/>
        </w:rPr>
        <w:t xml:space="preserve"> que hoy se hace </w:t>
      </w:r>
      <w:r>
        <w:rPr>
          <w:rFonts w:cs="Arial"/>
          <w:szCs w:val="26"/>
          <w:lang w:eastAsia="es-ES_tradnl"/>
        </w:rPr>
        <w:t xml:space="preserve">cada vez más complejo; además de  atender de manera prioritaria la formación cultural y ética de la persona en pos de su humanización. Contribuyendo al desarrollo integral de cada sujeto, desarrollando y agudizando el espíritu crítico frente a los diferentes fenómenos mundiales, ampliando la comprensión de los hechos y contextualizándola más allá de la visión </w:t>
      </w:r>
      <w:proofErr w:type="spellStart"/>
      <w:r>
        <w:rPr>
          <w:rFonts w:cs="Arial"/>
          <w:szCs w:val="26"/>
          <w:lang w:eastAsia="es-ES_tradnl"/>
        </w:rPr>
        <w:t>inmediatista</w:t>
      </w:r>
      <w:proofErr w:type="spellEnd"/>
      <w:r>
        <w:rPr>
          <w:rFonts w:cs="Arial"/>
          <w:szCs w:val="26"/>
          <w:lang w:eastAsia="es-ES_tradnl"/>
        </w:rPr>
        <w:t xml:space="preserve"> y simplista que los medios de comunicación masiva muchas veces nos ofrecen;  educando, en consecuencia, con responsabilidad y conciencia ética </w:t>
      </w:r>
    </w:p>
    <w:p w:rsidR="00AD578C" w:rsidRDefault="00AD578C" w:rsidP="00AD578C">
      <w:pPr>
        <w:widowControl w:val="0"/>
        <w:autoSpaceDE w:val="0"/>
        <w:autoSpaceDN w:val="0"/>
        <w:adjustRightInd w:val="0"/>
        <w:jc w:val="both"/>
        <w:rPr>
          <w:rFonts w:cs="Arial"/>
          <w:szCs w:val="26"/>
          <w:lang w:eastAsia="es-ES_tradnl"/>
        </w:rPr>
      </w:pPr>
    </w:p>
    <w:p w:rsidR="00AD578C" w:rsidRDefault="00AD578C" w:rsidP="00AD578C">
      <w:pPr>
        <w:widowControl w:val="0"/>
        <w:autoSpaceDE w:val="0"/>
        <w:autoSpaceDN w:val="0"/>
        <w:adjustRightInd w:val="0"/>
        <w:jc w:val="both"/>
        <w:rPr>
          <w:rFonts w:cs="Arial"/>
          <w:szCs w:val="26"/>
          <w:lang w:eastAsia="es-ES_tradnl"/>
        </w:rPr>
      </w:pPr>
      <w:r>
        <w:rPr>
          <w:rFonts w:cs="Arial"/>
          <w:szCs w:val="26"/>
          <w:lang w:eastAsia="es-ES_tradnl"/>
        </w:rPr>
        <w:tab/>
        <w:t xml:space="preserve">Lo que ciertamente requiere de conectarnos con nuestra esencia, con nuestro origen, haciéndonos concientes de nuestro entorno, de la biodiversidad que es el mundo y de nuestra responsabilidad en la conservación de la misma. Esto implica retos, en la visión con que la educación enfrenta la enseñanza, instalando un conjunto de conocimientos relativos a los vínculos que unen al hombre con su hábitat, desarrollando la conciencia ecológica y valores como la solidaridad planetaria,  estableciendo valores comunes que permitan instalar la solidaridad intelectual y moral, tal como lo señala la propia UNESCO (1998) </w:t>
      </w:r>
    </w:p>
    <w:p w:rsidR="00AD578C" w:rsidRPr="00764496" w:rsidRDefault="00AD578C" w:rsidP="00AD578C">
      <w:pPr>
        <w:widowControl w:val="0"/>
        <w:autoSpaceDE w:val="0"/>
        <w:autoSpaceDN w:val="0"/>
        <w:adjustRightInd w:val="0"/>
        <w:jc w:val="both"/>
        <w:rPr>
          <w:rFonts w:cs="Geneva"/>
          <w:szCs w:val="26"/>
          <w:lang w:eastAsia="es-ES_tradnl"/>
        </w:rPr>
      </w:pPr>
    </w:p>
    <w:p w:rsidR="00AD578C" w:rsidRPr="009C59CF" w:rsidRDefault="00AD578C" w:rsidP="00AD578C">
      <w:pPr>
        <w:widowControl w:val="0"/>
        <w:autoSpaceDE w:val="0"/>
        <w:autoSpaceDN w:val="0"/>
        <w:adjustRightInd w:val="0"/>
        <w:spacing w:after="260"/>
        <w:ind w:firstLine="708"/>
        <w:jc w:val="both"/>
        <w:rPr>
          <w:rFonts w:cs="Arial"/>
          <w:szCs w:val="26"/>
          <w:lang w:eastAsia="es-ES_tradnl"/>
        </w:rPr>
      </w:pPr>
      <w:r>
        <w:rPr>
          <w:rFonts w:cs="Arial"/>
          <w:szCs w:val="26"/>
          <w:lang w:eastAsia="es-ES_tradnl"/>
        </w:rPr>
        <w:t>En definitiva, enriquecer continuamente los conocimientos, en pos del</w:t>
      </w:r>
      <w:r w:rsidRPr="009C59CF">
        <w:rPr>
          <w:rFonts w:cs="Arial"/>
          <w:szCs w:val="26"/>
          <w:lang w:eastAsia="es-ES_tradnl"/>
        </w:rPr>
        <w:t xml:space="preserve"> ejercicio de una ciudadanía basada en los valores de convivencia, solidaridad y respeto. </w:t>
      </w:r>
      <w:r>
        <w:rPr>
          <w:rFonts w:cs="Arial"/>
          <w:szCs w:val="26"/>
          <w:lang w:eastAsia="es-ES_tradnl"/>
        </w:rPr>
        <w:t>Generando</w:t>
      </w:r>
      <w:r w:rsidRPr="009C59CF">
        <w:rPr>
          <w:rFonts w:cs="Arial"/>
          <w:szCs w:val="26"/>
          <w:lang w:eastAsia="es-ES_tradnl"/>
        </w:rPr>
        <w:t xml:space="preserve"> nuevas formas de socialización, </w:t>
      </w:r>
      <w:r>
        <w:rPr>
          <w:rFonts w:cs="Arial"/>
          <w:szCs w:val="26"/>
          <w:lang w:eastAsia="es-ES_tradnl"/>
        </w:rPr>
        <w:t>facilitándole</w:t>
      </w:r>
      <w:r w:rsidRPr="009C59CF">
        <w:rPr>
          <w:rFonts w:cs="Arial"/>
          <w:szCs w:val="26"/>
          <w:lang w:eastAsia="es-ES_tradnl"/>
        </w:rPr>
        <w:t xml:space="preserve"> a </w:t>
      </w:r>
      <w:r>
        <w:rPr>
          <w:rFonts w:cs="Arial"/>
          <w:szCs w:val="26"/>
          <w:lang w:eastAsia="es-ES_tradnl"/>
        </w:rPr>
        <w:t xml:space="preserve">todos </w:t>
      </w:r>
      <w:r w:rsidRPr="009C59CF">
        <w:rPr>
          <w:rFonts w:cs="Arial"/>
          <w:szCs w:val="26"/>
          <w:lang w:eastAsia="es-ES_tradnl"/>
        </w:rPr>
        <w:t xml:space="preserve">los individuos de todos los estratos sociales una participación </w:t>
      </w:r>
      <w:r>
        <w:rPr>
          <w:rFonts w:cs="Arial"/>
          <w:szCs w:val="26"/>
          <w:lang w:eastAsia="es-ES_tradnl"/>
        </w:rPr>
        <w:t xml:space="preserve">equilibrada, equitativa </w:t>
      </w:r>
      <w:r w:rsidRPr="009C59CF">
        <w:rPr>
          <w:rFonts w:cs="Arial"/>
          <w:szCs w:val="26"/>
          <w:lang w:eastAsia="es-ES_tradnl"/>
        </w:rPr>
        <w:t xml:space="preserve">en los avances tecnológicos, </w:t>
      </w:r>
      <w:r>
        <w:rPr>
          <w:rFonts w:cs="Arial"/>
          <w:szCs w:val="26"/>
          <w:lang w:eastAsia="es-ES_tradnl"/>
        </w:rPr>
        <w:t>intentando de esta forma disminuir la brecha, disminuir</w:t>
      </w:r>
      <w:r w:rsidRPr="009C59CF">
        <w:rPr>
          <w:rFonts w:cs="Arial"/>
          <w:szCs w:val="26"/>
          <w:lang w:eastAsia="es-ES_tradnl"/>
        </w:rPr>
        <w:t xml:space="preserve"> los niveles de pobreza</w:t>
      </w:r>
      <w:r>
        <w:rPr>
          <w:rFonts w:cs="Arial"/>
          <w:szCs w:val="26"/>
          <w:lang w:eastAsia="es-ES_tradnl"/>
        </w:rPr>
        <w:t>,</w:t>
      </w:r>
      <w:r w:rsidRPr="009C59CF">
        <w:rPr>
          <w:rFonts w:cs="Arial"/>
          <w:szCs w:val="26"/>
          <w:lang w:eastAsia="es-ES_tradnl"/>
        </w:rPr>
        <w:t xml:space="preserve"> </w:t>
      </w:r>
      <w:r>
        <w:rPr>
          <w:rFonts w:cs="Arial"/>
          <w:szCs w:val="26"/>
          <w:lang w:eastAsia="es-ES_tradnl"/>
        </w:rPr>
        <w:t>alcanzando</w:t>
      </w:r>
      <w:r w:rsidRPr="009C59CF">
        <w:rPr>
          <w:rFonts w:cs="Arial"/>
          <w:szCs w:val="26"/>
          <w:lang w:eastAsia="es-ES_tradnl"/>
        </w:rPr>
        <w:t xml:space="preserve"> un desarrollo sustentable que </w:t>
      </w:r>
      <w:r>
        <w:rPr>
          <w:rFonts w:cs="Arial"/>
          <w:szCs w:val="26"/>
          <w:lang w:eastAsia="es-ES_tradnl"/>
        </w:rPr>
        <w:t>mejore</w:t>
      </w:r>
      <w:r w:rsidRPr="009C59CF">
        <w:rPr>
          <w:rFonts w:cs="Arial"/>
          <w:szCs w:val="26"/>
          <w:lang w:eastAsia="es-ES_tradnl"/>
        </w:rPr>
        <w:t xml:space="preserve"> la vida de todos los seres humanos. </w:t>
      </w:r>
      <w:r>
        <w:rPr>
          <w:rFonts w:cs="Arial"/>
          <w:szCs w:val="26"/>
          <w:lang w:eastAsia="es-ES_tradnl"/>
        </w:rPr>
        <w:t>Rebasando, de esta forma, las fronteras del aula y</w:t>
      </w:r>
      <w:r w:rsidRPr="009C59CF">
        <w:rPr>
          <w:rFonts w:cs="Arial"/>
          <w:szCs w:val="26"/>
          <w:lang w:eastAsia="es-ES_tradnl"/>
        </w:rPr>
        <w:t xml:space="preserve"> </w:t>
      </w:r>
      <w:r>
        <w:rPr>
          <w:rFonts w:cs="Arial"/>
          <w:szCs w:val="26"/>
          <w:lang w:eastAsia="es-ES_tradnl"/>
        </w:rPr>
        <w:t>estableciendo una educación universal que entregue a cada</w:t>
      </w:r>
      <w:r w:rsidRPr="009C59CF">
        <w:rPr>
          <w:rFonts w:cs="Arial"/>
          <w:szCs w:val="26"/>
          <w:lang w:eastAsia="es-ES_tradnl"/>
        </w:rPr>
        <w:t xml:space="preserve"> persona la capacidad de participar activamente en un proyecto de sociedad.</w:t>
      </w:r>
      <w:r>
        <w:rPr>
          <w:rFonts w:cs="Arial"/>
          <w:szCs w:val="26"/>
          <w:lang w:eastAsia="es-ES_tradnl"/>
        </w:rPr>
        <w:t xml:space="preserve"> Alineándonos, en cierta forma con los </w:t>
      </w:r>
      <w:r w:rsidRPr="009C59CF">
        <w:rPr>
          <w:rFonts w:cs="Arial"/>
          <w:szCs w:val="26"/>
          <w:lang w:eastAsia="es-ES_tradnl"/>
        </w:rPr>
        <w:t xml:space="preserve">nuevos paradigmas centrados en el valor del capital humano, </w:t>
      </w:r>
      <w:r>
        <w:rPr>
          <w:rFonts w:cs="Arial"/>
          <w:szCs w:val="26"/>
          <w:lang w:eastAsia="es-ES_tradnl"/>
        </w:rPr>
        <w:t>enmarcado en valores humanistas,</w:t>
      </w:r>
      <w:r w:rsidRPr="009C59CF">
        <w:rPr>
          <w:rFonts w:cs="Arial"/>
          <w:szCs w:val="26"/>
          <w:lang w:eastAsia="es-ES_tradnl"/>
        </w:rPr>
        <w:t xml:space="preserve"> que permitan </w:t>
      </w:r>
      <w:r>
        <w:rPr>
          <w:rFonts w:cs="Arial"/>
          <w:szCs w:val="26"/>
          <w:lang w:eastAsia="es-ES_tradnl"/>
        </w:rPr>
        <w:t>transformar las realidades desde una perspectiva ética que guíe la reflexión respecto de la sociedad y las relaciones que el ser humano establece en ellas.</w:t>
      </w:r>
    </w:p>
    <w:p w:rsidR="00AD578C" w:rsidRDefault="00AD578C" w:rsidP="00AD578C">
      <w:pPr>
        <w:widowControl w:val="0"/>
        <w:autoSpaceDE w:val="0"/>
        <w:autoSpaceDN w:val="0"/>
        <w:adjustRightInd w:val="0"/>
        <w:spacing w:after="260"/>
        <w:ind w:firstLine="708"/>
        <w:jc w:val="both"/>
        <w:rPr>
          <w:rFonts w:cs="Arial"/>
          <w:szCs w:val="26"/>
          <w:lang w:eastAsia="es-ES_tradnl"/>
        </w:rPr>
      </w:pPr>
      <w:r>
        <w:rPr>
          <w:rFonts w:cs="Arial"/>
          <w:szCs w:val="26"/>
          <w:lang w:eastAsia="es-ES_tradnl"/>
        </w:rPr>
        <w:t xml:space="preserve">Orientándonos, a partir de ello, hacia  una </w:t>
      </w:r>
      <w:r w:rsidRPr="009C59CF">
        <w:rPr>
          <w:rFonts w:cs="Arial"/>
          <w:szCs w:val="26"/>
          <w:lang w:eastAsia="es-ES_tradnl"/>
        </w:rPr>
        <w:t xml:space="preserve">educación </w:t>
      </w:r>
      <w:r>
        <w:rPr>
          <w:rFonts w:cs="Arial"/>
          <w:szCs w:val="26"/>
          <w:lang w:eastAsia="es-ES_tradnl"/>
        </w:rPr>
        <w:t>cuya finalidad apunte a la</w:t>
      </w:r>
      <w:r w:rsidRPr="009C59CF">
        <w:rPr>
          <w:rFonts w:cs="Arial"/>
          <w:szCs w:val="26"/>
          <w:lang w:eastAsia="es-ES_tradnl"/>
        </w:rPr>
        <w:t xml:space="preserve"> democracia basada en el trabaj</w:t>
      </w:r>
      <w:r>
        <w:rPr>
          <w:rFonts w:cs="Arial"/>
          <w:szCs w:val="26"/>
          <w:lang w:eastAsia="es-ES_tradnl"/>
        </w:rPr>
        <w:t>o, la participación, el respeto;</w:t>
      </w:r>
      <w:r w:rsidRPr="009C59CF">
        <w:rPr>
          <w:rFonts w:cs="Arial"/>
          <w:szCs w:val="26"/>
          <w:lang w:eastAsia="es-ES_tradnl"/>
        </w:rPr>
        <w:t xml:space="preserve"> </w:t>
      </w:r>
      <w:r>
        <w:rPr>
          <w:rFonts w:cs="Arial"/>
          <w:szCs w:val="26"/>
          <w:lang w:eastAsia="es-ES_tradnl"/>
        </w:rPr>
        <w:t>que genere acciones colectivas que caminen hacia una vida digna basada en valores y derechos que promuevan la honestidad, la confianza, la justicia y la solidaridad como herramientas para la toma de decisiones desde una perspectiva ética y razonable.</w:t>
      </w:r>
    </w:p>
    <w:p w:rsidR="00AD578C" w:rsidRDefault="00AD578C" w:rsidP="00AD578C">
      <w:pPr>
        <w:widowControl w:val="0"/>
        <w:autoSpaceDE w:val="0"/>
        <w:autoSpaceDN w:val="0"/>
        <w:adjustRightInd w:val="0"/>
        <w:spacing w:after="260"/>
        <w:ind w:firstLine="708"/>
        <w:jc w:val="both"/>
        <w:rPr>
          <w:rFonts w:cs="Arial"/>
          <w:szCs w:val="26"/>
          <w:lang w:eastAsia="es-ES_tradnl"/>
        </w:rPr>
      </w:pPr>
    </w:p>
    <w:p w:rsidR="00AD578C" w:rsidRDefault="00AD578C" w:rsidP="00AD578C">
      <w:pPr>
        <w:widowControl w:val="0"/>
        <w:autoSpaceDE w:val="0"/>
        <w:autoSpaceDN w:val="0"/>
        <w:adjustRightInd w:val="0"/>
        <w:spacing w:after="260"/>
        <w:ind w:firstLine="708"/>
        <w:jc w:val="both"/>
        <w:rPr>
          <w:rFonts w:cs="Arial"/>
          <w:szCs w:val="26"/>
          <w:lang w:eastAsia="es-ES_tradnl"/>
        </w:rPr>
      </w:pPr>
      <w:r>
        <w:rPr>
          <w:rFonts w:cs="Arial"/>
          <w:noProof/>
          <w:szCs w:val="26"/>
          <w:lang w:eastAsia="es-ES_tradnl"/>
        </w:rPr>
        <w:drawing>
          <wp:inline distT="0" distB="0" distL="0" distR="0">
            <wp:extent cx="3898900" cy="3131185"/>
            <wp:effectExtent l="0" t="0" r="0" b="0"/>
            <wp:docPr id="17" name="O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sp>
                    <a:nvSpPr>
                      <a:cNvPr id="5" name="Rectángulo redondeado 4"/>
                      <a:cNvSpPr/>
                    </a:nvSpPr>
                    <a:spPr>
                      <a:xfrm>
                        <a:off x="3340778" y="0"/>
                        <a:ext cx="2388243" cy="635064"/>
                      </a:xfrm>
                      <a:prstGeom prst="roundRect">
                        <a:avLst/>
                      </a:prstGeom>
                    </a:spPr>
                    <a:txSp>
                      <a:txBody>
                        <a:bodyPr anchor="ctr"/>
                        <a:lstStyle>
                          <a:defPPr>
                            <a:defRPr lang="es-ES_tradnl"/>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r>
                            <a:rPr lang="es-ES_tradnl" sz="2400" dirty="0">
                              <a:solidFill>
                                <a:schemeClr val="tx1"/>
                              </a:solidFill>
                            </a:rPr>
                            <a:t>El profesor</a:t>
                          </a:r>
                        </a:p>
                      </a:txBody>
                      <a:useSpRect/>
                    </a:txSp>
                    <a:style>
                      <a:lnRef idx="0">
                        <a:schemeClr val="accent6"/>
                      </a:lnRef>
                      <a:fillRef idx="3">
                        <a:schemeClr val="accent6"/>
                      </a:fillRef>
                      <a:effectRef idx="3">
                        <a:schemeClr val="accent6"/>
                      </a:effectRef>
                      <a:fontRef idx="minor">
                        <a:schemeClr val="lt1"/>
                      </a:fontRef>
                    </a:style>
                  </a:sp>
                  <a:cxnSp>
                    <a:nvCxnSpPr>
                      <a:cNvPr id="7" name="Conector recto de flecha 6"/>
                      <a:cNvCxnSpPr/>
                    </a:nvCxnSpPr>
                    <a:spPr>
                      <a:xfrm rot="10800000" flipV="1">
                        <a:off x="1670050" y="635000"/>
                        <a:ext cx="2181225" cy="690563"/>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sp>
                    <a:nvSpPr>
                      <a:cNvPr id="39943" name="CuadroTexto 7"/>
                      <a:cNvSpPr txBox="1">
                        <a:spLocks noChangeArrowheads="1"/>
                      </a:cNvSpPr>
                    </a:nvSpPr>
                    <a:spPr bwMode="auto">
                      <a:xfrm rot="20348238">
                        <a:off x="2427288" y="755650"/>
                        <a:ext cx="749300" cy="369888"/>
                      </a:xfrm>
                      <a:prstGeom prst="rect">
                        <a:avLst/>
                      </a:prstGeom>
                      <a:noFill/>
                      <a:ln w="9525">
                        <a:noFill/>
                        <a:miter lim="800000"/>
                        <a:headEnd/>
                        <a:tailEnd/>
                      </a:ln>
                    </a:spPr>
                    <a:txSp>
                      <a:txBody>
                        <a:bodyPr wrap="none">
                          <a:prstTxWarp prst="textNoShape">
                            <a:avLst/>
                          </a:prstTxWarp>
                          <a:spAutoFit/>
                        </a:bodyPr>
                        <a:lstStyle>
                          <a:defPPr>
                            <a:defRPr lang="es-ES_tradnl"/>
                          </a:defPPr>
                          <a:lvl1pPr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r>
                            <a:rPr lang="es-ES_tradnl"/>
                            <a:t>como</a:t>
                          </a:r>
                        </a:p>
                      </a:txBody>
                      <a:useSpRect/>
                    </a:txSp>
                  </a:sp>
                  <a:sp>
                    <a:nvSpPr>
                      <a:cNvPr id="9" name="Elipse 8"/>
                      <a:cNvSpPr/>
                    </a:nvSpPr>
                    <a:spPr>
                      <a:xfrm>
                        <a:off x="183049" y="1325246"/>
                        <a:ext cx="2203732" cy="1035371"/>
                      </a:xfrm>
                      <a:prstGeom prst="ellipse">
                        <a:avLst/>
                      </a:prstGeom>
                      <a:blipFill dpi="0" rotWithShape="1">
                        <a:blip r:embed="rId10">
                          <a:alphaModFix amt="51000"/>
                          <a:duotone>
                            <a:schemeClr val="accent6">
                              <a:shade val="30000"/>
                              <a:satMod val="150000"/>
                            </a:schemeClr>
                            <a:schemeClr val="accent6">
                              <a:alpha val="10000"/>
                              <a:satMod val="120000"/>
                            </a:schemeClr>
                          </a:duotone>
                        </a:blip>
                        <a:srcRect/>
                        <a:stretch>
                          <a:fillRect/>
                        </a:stretch>
                      </a:blipFill>
                    </a:spPr>
                    <a:txSp>
                      <a:txBody>
                        <a:bodyPr anchor="ctr"/>
                        <a:lstStyle>
                          <a:defPPr>
                            <a:defRPr lang="es-ES_tradnl"/>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a:defRPr/>
                          </a:pPr>
                          <a:r>
                            <a:rPr lang="es-ES_tradnl" sz="2000" b="1" i="1" dirty="0">
                              <a:solidFill>
                                <a:schemeClr val="tx1"/>
                              </a:solidFill>
                              <a:latin typeface="Comic Sans MS"/>
                            </a:rPr>
                            <a:t>Orientador</a:t>
                          </a:r>
                        </a:p>
                      </a:txBody>
                      <a:useSpRect/>
                    </a:txSp>
                    <a:style>
                      <a:lnRef idx="1">
                        <a:schemeClr val="accent6"/>
                      </a:lnRef>
                      <a:fillRef idx="3">
                        <a:schemeClr val="accent6"/>
                      </a:fillRef>
                      <a:effectRef idx="2">
                        <a:schemeClr val="accent6"/>
                      </a:effectRef>
                      <a:fontRef idx="minor">
                        <a:schemeClr val="lt1"/>
                      </a:fontRef>
                    </a:style>
                  </a:sp>
                  <a:cxnSp>
                    <a:nvCxnSpPr>
                      <a:cNvPr id="11" name="Conector recto de flecha 10"/>
                      <a:cNvCxnSpPr/>
                    </a:nvCxnSpPr>
                    <a:spPr>
                      <a:xfrm rot="5400000">
                        <a:off x="815181" y="2815432"/>
                        <a:ext cx="911225" cy="1588"/>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sp>
                    <a:nvSpPr>
                      <a:cNvPr id="12" name="Rectángulo redondeado 11"/>
                      <a:cNvSpPr/>
                    </a:nvSpPr>
                    <a:spPr>
                      <a:xfrm>
                        <a:off x="0" y="3271855"/>
                        <a:ext cx="2628098" cy="2360781"/>
                      </a:xfrm>
                      <a:prstGeom prst="roundRect">
                        <a:avLst/>
                      </a:prstGeom>
                    </a:spPr>
                    <a:txSp>
                      <a:txBody>
                        <a:bodyPr anchor="ctr"/>
                        <a:lstStyle>
                          <a:defPPr>
                            <a:defRPr lang="es-ES_tradnl"/>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a:defRPr/>
                          </a:pPr>
                          <a:r>
                            <a:rPr lang="es-CL" sz="2000" i="1" dirty="0">
                              <a:solidFill>
                                <a:schemeClr val="tx1"/>
                              </a:solidFill>
                              <a:latin typeface="Comic Sans MS"/>
                              <a:cs typeface="Comic Sans MS"/>
                            </a:rPr>
                            <a:t>“Etica de relación educativa basa en el respeto, cuidado, responsabilidad y amor” </a:t>
                          </a:r>
                        </a:p>
                        <a:p>
                          <a:pPr algn="ctr">
                            <a:defRPr/>
                          </a:pPr>
                          <a:r>
                            <a:rPr lang="es-CL" sz="1400" b="1" i="1" dirty="0">
                              <a:solidFill>
                                <a:schemeClr val="tx1"/>
                              </a:solidFill>
                              <a:latin typeface="Comic Sans MS"/>
                              <a:cs typeface="Comic Sans MS"/>
                            </a:rPr>
                            <a:t>Escudero 2006.</a:t>
                          </a:r>
                        </a:p>
                      </a:txBody>
                      <a:useSpRect/>
                    </a:txSp>
                    <a:style>
                      <a:lnRef idx="0">
                        <a:schemeClr val="accent6"/>
                      </a:lnRef>
                      <a:fillRef idx="3">
                        <a:schemeClr val="accent6"/>
                      </a:fillRef>
                      <a:effectRef idx="3">
                        <a:schemeClr val="accent6"/>
                      </a:effectRef>
                      <a:fontRef idx="minor">
                        <a:schemeClr val="lt1"/>
                      </a:fontRef>
                    </a:style>
                  </a:sp>
                  <a:cxnSp>
                    <a:nvCxnSpPr>
                      <a:cNvPr id="16" name="Conector recto de flecha 15"/>
                      <a:cNvCxnSpPr/>
                    </a:nvCxnSpPr>
                    <a:spPr>
                      <a:xfrm>
                        <a:off x="5259388" y="635000"/>
                        <a:ext cx="1490662" cy="688975"/>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sp>
                    <a:nvSpPr>
                      <a:cNvPr id="39952" name="CuadroTexto 18"/>
                      <a:cNvSpPr txBox="1">
                        <a:spLocks noChangeArrowheads="1"/>
                      </a:cNvSpPr>
                    </a:nvSpPr>
                    <a:spPr bwMode="auto">
                      <a:xfrm rot="1763074">
                        <a:off x="5541963" y="712788"/>
                        <a:ext cx="749300" cy="369887"/>
                      </a:xfrm>
                      <a:prstGeom prst="rect">
                        <a:avLst/>
                      </a:prstGeom>
                      <a:noFill/>
                      <a:ln w="9525">
                        <a:noFill/>
                        <a:miter lim="800000"/>
                        <a:headEnd/>
                        <a:tailEnd/>
                      </a:ln>
                    </a:spPr>
                    <a:txSp>
                      <a:txBody>
                        <a:bodyPr wrap="none">
                          <a:prstTxWarp prst="textNoShape">
                            <a:avLst/>
                          </a:prstTxWarp>
                          <a:spAutoFit/>
                        </a:bodyPr>
                        <a:lstStyle>
                          <a:defPPr>
                            <a:defRPr lang="es-ES_tradnl"/>
                          </a:defPPr>
                          <a:lvl1pPr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defTabSz="457200"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r>
                            <a:rPr lang="es-ES_tradnl"/>
                            <a:t>como</a:t>
                          </a:r>
                        </a:p>
                      </a:txBody>
                      <a:useSpRect/>
                    </a:txSp>
                  </a:sp>
                  <a:sp>
                    <a:nvSpPr>
                      <a:cNvPr id="20" name="Elipse 19"/>
                      <a:cNvSpPr/>
                    </a:nvSpPr>
                    <a:spPr>
                      <a:xfrm>
                        <a:off x="5424806" y="1324453"/>
                        <a:ext cx="2650534" cy="1035371"/>
                      </a:xfrm>
                      <a:prstGeom prst="ellipse">
                        <a:avLst/>
                      </a:prstGeom>
                      <a:blipFill dpi="0" rotWithShape="1">
                        <a:blip r:embed="rId10">
                          <a:alphaModFix amt="51000"/>
                          <a:duotone>
                            <a:schemeClr val="accent6">
                              <a:shade val="30000"/>
                              <a:satMod val="150000"/>
                            </a:schemeClr>
                            <a:schemeClr val="accent6">
                              <a:alpha val="10000"/>
                              <a:satMod val="120000"/>
                            </a:schemeClr>
                          </a:duotone>
                        </a:blip>
                        <a:srcRect/>
                        <a:stretch>
                          <a:fillRect/>
                        </a:stretch>
                      </a:blipFill>
                    </a:spPr>
                    <a:txSp>
                      <a:txBody>
                        <a:bodyPr anchor="ctr"/>
                        <a:lstStyle>
                          <a:defPPr>
                            <a:defRPr lang="es-ES_tradnl"/>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a:defRPr/>
                          </a:pPr>
                          <a:r>
                            <a:rPr lang="es-ES_tradnl" sz="2000" b="1" i="1" dirty="0">
                              <a:solidFill>
                                <a:schemeClr val="tx1"/>
                              </a:solidFill>
                              <a:latin typeface="Comic Sans MS"/>
                            </a:rPr>
                            <a:t>Gestor de la convivencia</a:t>
                          </a:r>
                        </a:p>
                      </a:txBody>
                      <a:useSpRect/>
                    </a:txSp>
                    <a:style>
                      <a:lnRef idx="1">
                        <a:schemeClr val="accent6"/>
                      </a:lnRef>
                      <a:fillRef idx="3">
                        <a:schemeClr val="accent6"/>
                      </a:fillRef>
                      <a:effectRef idx="2">
                        <a:schemeClr val="accent6"/>
                      </a:effectRef>
                      <a:fontRef idx="minor">
                        <a:schemeClr val="lt1"/>
                      </a:fontRef>
                    </a:style>
                  </a:sp>
                  <a:cxnSp>
                    <a:nvCxnSpPr>
                      <a:cNvPr id="26" name="Conector recto de flecha 25"/>
                      <a:cNvCxnSpPr/>
                    </a:nvCxnSpPr>
                    <a:spPr>
                      <a:xfrm rot="10800000" flipV="1">
                        <a:off x="5018088" y="2278063"/>
                        <a:ext cx="814387" cy="347662"/>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sp>
                    <a:nvSpPr>
                      <a:cNvPr id="27" name="Rectángulo redondeado 26"/>
                      <a:cNvSpPr/>
                    </a:nvSpPr>
                    <a:spPr>
                      <a:xfrm>
                        <a:off x="2865230" y="5011260"/>
                        <a:ext cx="3554074" cy="1385075"/>
                      </a:xfrm>
                      <a:prstGeom prst="roundRect">
                        <a:avLst/>
                      </a:prstGeom>
                    </a:spPr>
                    <a:txSp>
                      <a:txBody>
                        <a:bodyPr anchor="ctr"/>
                        <a:lstStyle>
                          <a:defPPr>
                            <a:defRPr lang="es-ES_tradnl"/>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just">
                            <a:defRPr/>
                          </a:pPr>
                          <a:r>
                            <a:rPr lang="es-CL" sz="1600" b="1" i="1" dirty="0">
                              <a:solidFill>
                                <a:srgbClr val="000000"/>
                              </a:solidFill>
                              <a:cs typeface="Comic Sans MS"/>
                            </a:rPr>
                            <a:t>La forma en cómo asume dicho liderazgo es fundamental  (en la interacción profesor alumno existe una desigual distribución de poder)</a:t>
                          </a:r>
                        </a:p>
                      </a:txBody>
                      <a:useSpRect/>
                    </a:txSp>
                    <a:style>
                      <a:lnRef idx="0">
                        <a:schemeClr val="accent6"/>
                      </a:lnRef>
                      <a:fillRef idx="3">
                        <a:schemeClr val="accent6"/>
                      </a:fillRef>
                      <a:effectRef idx="3">
                        <a:schemeClr val="accent6"/>
                      </a:effectRef>
                      <a:fontRef idx="minor">
                        <a:schemeClr val="lt1"/>
                      </a:fontRef>
                    </a:style>
                  </a:sp>
                  <a:sp>
                    <a:nvSpPr>
                      <a:cNvPr id="28" name="Rectángulo redondeado 27"/>
                      <a:cNvSpPr/>
                    </a:nvSpPr>
                    <a:spPr>
                      <a:xfrm>
                        <a:off x="2865230" y="2625482"/>
                        <a:ext cx="3050876" cy="1339901"/>
                      </a:xfrm>
                      <a:prstGeom prst="roundRect">
                        <a:avLst/>
                      </a:prstGeom>
                    </a:spPr>
                    <a:txSp>
                      <a:txBody>
                        <a:bodyPr anchor="ctr"/>
                        <a:lstStyle>
                          <a:defPPr>
                            <a:defRPr lang="es-ES_tradnl"/>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a:defRPr/>
                          </a:pPr>
                          <a:r>
                            <a:rPr lang="es-CL" sz="1600" b="1" i="1" dirty="0">
                              <a:solidFill>
                                <a:schemeClr val="tx1"/>
                              </a:solidFill>
                              <a:latin typeface="Comic Sans MS"/>
                              <a:cs typeface="Comic Sans MS"/>
                            </a:rPr>
                            <a:t>“</a:t>
                          </a:r>
                          <a:r>
                            <a:rPr lang="es-CL" sz="1600" b="1" i="1" dirty="0">
                              <a:solidFill>
                                <a:srgbClr val="000000"/>
                              </a:solidFill>
                            </a:rPr>
                            <a:t>El profesor se encuentra en una posición ideal para asumir el papel de líder de la estructura formal del grupo clase (potenciar clima de respeto y seguridad)</a:t>
                          </a:r>
                        </a:p>
                      </a:txBody>
                      <a:useSpRect/>
                    </a:txSp>
                    <a:style>
                      <a:lnRef idx="0">
                        <a:schemeClr val="accent6"/>
                      </a:lnRef>
                      <a:fillRef idx="3">
                        <a:schemeClr val="accent6"/>
                      </a:fillRef>
                      <a:effectRef idx="3">
                        <a:schemeClr val="accent6"/>
                      </a:effectRef>
                      <a:fontRef idx="minor">
                        <a:schemeClr val="lt1"/>
                      </a:fontRef>
                    </a:style>
                  </a:sp>
                  <a:cxnSp>
                    <a:nvCxnSpPr>
                      <a:cNvPr id="33" name="Conector recto de flecha 32"/>
                      <a:cNvCxnSpPr>
                        <a:stCxn id="20" idx="4"/>
                      </a:cNvCxnSpPr>
                    </a:nvCxnSpPr>
                    <a:spPr>
                      <a:xfrm rot="5400000">
                        <a:off x="4679156" y="2940845"/>
                        <a:ext cx="2651125" cy="1490662"/>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36" name="Conector recto de flecha 35"/>
                      <a:cNvCxnSpPr>
                        <a:stCxn id="20" idx="4"/>
                      </a:cNvCxnSpPr>
                    </a:nvCxnSpPr>
                    <a:spPr>
                      <a:xfrm rot="5400000">
                        <a:off x="5948363" y="3162300"/>
                        <a:ext cx="1604962" cy="1588"/>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sp>
                    <a:nvSpPr>
                      <a:cNvPr id="37" name="Rectángulo redondeado 36"/>
                      <a:cNvSpPr/>
                    </a:nvSpPr>
                    <a:spPr>
                      <a:xfrm>
                        <a:off x="5729022" y="3965383"/>
                        <a:ext cx="1865396" cy="1046355"/>
                      </a:xfrm>
                      <a:prstGeom prst="roundRect">
                        <a:avLst/>
                      </a:prstGeom>
                    </a:spPr>
                    <a:txSp>
                      <a:txBody>
                        <a:bodyPr anchor="ctr"/>
                        <a:lstStyle>
                          <a:defPPr>
                            <a:defRPr lang="es-ES_tradnl"/>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just">
                            <a:defRPr/>
                          </a:pPr>
                          <a:r>
                            <a:rPr lang="es-CL" sz="1600" b="1" i="1" dirty="0">
                              <a:solidFill>
                                <a:schemeClr val="tx1"/>
                              </a:solidFill>
                            </a:rPr>
                            <a:t>No es suficiente el reconocimiento formal</a:t>
                          </a:r>
                        </a:p>
                      </a:txBody>
                      <a:useSpRect/>
                    </a:txSp>
                    <a:style>
                      <a:lnRef idx="0">
                        <a:schemeClr val="accent6"/>
                      </a:lnRef>
                      <a:fillRef idx="3">
                        <a:schemeClr val="accent6"/>
                      </a:fillRef>
                      <a:effectRef idx="3">
                        <a:schemeClr val="accent6"/>
                      </a:effectRef>
                      <a:fontRef idx="minor">
                        <a:schemeClr val="lt1"/>
                      </a:fontRef>
                    </a:style>
                  </a:sp>
                  <a:cxnSp>
                    <a:nvCxnSpPr>
                      <a:cNvPr id="40" name="Conector recto de flecha 39"/>
                      <a:cNvCxnSpPr>
                        <a:stCxn id="20" idx="4"/>
                      </a:cNvCxnSpPr>
                    </a:nvCxnSpPr>
                    <a:spPr>
                      <a:xfrm rot="16200000" flipH="1">
                        <a:off x="6087269" y="3023394"/>
                        <a:ext cx="2651125" cy="1325563"/>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sp>
                    <a:nvSpPr>
                      <a:cNvPr id="41" name="Rectángulo redondeado 40"/>
                      <a:cNvSpPr/>
                    </a:nvSpPr>
                    <a:spPr>
                      <a:xfrm>
                        <a:off x="6749279" y="5011260"/>
                        <a:ext cx="2394721" cy="1846740"/>
                      </a:xfrm>
                      <a:prstGeom prst="roundRect">
                        <a:avLst/>
                      </a:prstGeom>
                    </a:spPr>
                    <a:txSp>
                      <a:txBody>
                        <a:bodyPr anchor="ctr"/>
                        <a:lstStyle>
                          <a:defPPr>
                            <a:defRPr lang="es-ES_tradnl"/>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just">
                            <a:tabLst>
                              <a:tab pos="6815138" algn="l"/>
                            </a:tabLst>
                            <a:defRPr/>
                          </a:pPr>
                          <a:r>
                            <a:rPr lang="es-CL" sz="1600" b="1" i="1" dirty="0">
                              <a:solidFill>
                                <a:schemeClr val="tx1"/>
                              </a:solidFill>
                            </a:rPr>
                            <a:t>Esta situación se reproduce en los centros educativos en el ejercicio de las funciones y responsabilidades educativas.</a:t>
                          </a:r>
                        </a:p>
                      </a:txBody>
                      <a:useSpRect/>
                    </a:txSp>
                    <a:style>
                      <a:lnRef idx="0">
                        <a:schemeClr val="accent6"/>
                      </a:lnRef>
                      <a:fillRef idx="3">
                        <a:schemeClr val="accent6"/>
                      </a:fillRef>
                      <a:effectRef idx="3">
                        <a:schemeClr val="accent6"/>
                      </a:effectRef>
                      <a:fontRef idx="minor">
                        <a:schemeClr val="lt1"/>
                      </a:fontRef>
                    </a:style>
                  </a:sp>
                  <a:cxnSp>
                    <a:nvCxnSpPr>
                      <a:cNvPr id="43" name="Conector recto de flecha 42"/>
                      <a:cNvCxnSpPr/>
                    </a:nvCxnSpPr>
                    <a:spPr>
                      <a:xfrm>
                        <a:off x="7594600" y="2278063"/>
                        <a:ext cx="882650" cy="347662"/>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sp>
                    <a:nvSpPr>
                      <a:cNvPr id="45" name="Rectángulo redondeado 44"/>
                      <a:cNvSpPr/>
                    </a:nvSpPr>
                    <a:spPr>
                      <a:xfrm>
                        <a:off x="7594417" y="2625481"/>
                        <a:ext cx="1549583" cy="1669463"/>
                      </a:xfrm>
                      <a:prstGeom prst="roundRect">
                        <a:avLst/>
                      </a:prstGeom>
                    </a:spPr>
                    <a:txSp>
                      <a:txBody>
                        <a:bodyPr anchor="ctr"/>
                        <a:lstStyle>
                          <a:defPPr>
                            <a:defRPr lang="es-ES_tradnl"/>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just">
                            <a:defRPr/>
                          </a:pPr>
                          <a:r>
                            <a:rPr lang="es-CL" sz="1600" b="1" i="1" dirty="0">
                              <a:solidFill>
                                <a:schemeClr val="tx1"/>
                              </a:solidFill>
                            </a:rPr>
                            <a:t>El cargo NO ES el que dota de poder y de autoridad al profesor ante la clase.</a:t>
                          </a:r>
                        </a:p>
                      </a:txBody>
                      <a:useSpRect/>
                    </a:txSp>
                    <a:style>
                      <a:lnRef idx="0">
                        <a:schemeClr val="accent6"/>
                      </a:lnRef>
                      <a:fillRef idx="3">
                        <a:schemeClr val="accent6"/>
                      </a:fillRef>
                      <a:effectRef idx="3">
                        <a:schemeClr val="accent6"/>
                      </a:effectRef>
                      <a:fontRef idx="minor">
                        <a:schemeClr val="lt1"/>
                      </a:fontRef>
                    </a:style>
                  </a:sp>
                </lc:lockedCanvas>
              </a:graphicData>
            </a:graphic>
          </wp:inline>
        </w:drawing>
      </w:r>
    </w:p>
    <w:p w:rsidR="00AD578C" w:rsidRDefault="00AD578C" w:rsidP="00AD578C">
      <w:pPr>
        <w:widowControl w:val="0"/>
        <w:autoSpaceDE w:val="0"/>
        <w:autoSpaceDN w:val="0"/>
        <w:adjustRightInd w:val="0"/>
        <w:jc w:val="both"/>
        <w:rPr>
          <w:rFonts w:cs="Geneva"/>
          <w:szCs w:val="26"/>
          <w:lang w:eastAsia="es-ES_tradnl"/>
        </w:rPr>
      </w:pPr>
      <w:r w:rsidRPr="001B3CF6">
        <w:rPr>
          <w:rFonts w:cs="Geneva"/>
          <w:b/>
          <w:i/>
          <w:color w:val="232323"/>
          <w:sz w:val="16"/>
          <w:szCs w:val="26"/>
        </w:rPr>
        <w:t xml:space="preserve">Presentación: </w:t>
      </w:r>
      <w:r w:rsidRPr="001B3CF6">
        <w:rPr>
          <w:rFonts w:cs="Arial Black"/>
          <w:b/>
          <w:bCs/>
          <w:color w:val="232323"/>
          <w:sz w:val="16"/>
          <w:szCs w:val="26"/>
        </w:rPr>
        <w:t xml:space="preserve">Presentación Capítulo 10: El Profesor como gestor del aula. Juan Carlos </w:t>
      </w:r>
      <w:proofErr w:type="spellStart"/>
      <w:r w:rsidRPr="001B3CF6">
        <w:rPr>
          <w:rFonts w:cs="Arial Black"/>
          <w:b/>
          <w:bCs/>
          <w:color w:val="232323"/>
          <w:sz w:val="16"/>
          <w:szCs w:val="26"/>
        </w:rPr>
        <w:t>Torrego</w:t>
      </w:r>
      <w:proofErr w:type="spellEnd"/>
      <w:r w:rsidRPr="001B3CF6">
        <w:rPr>
          <w:rFonts w:cs="Arial Black"/>
          <w:b/>
          <w:bCs/>
          <w:color w:val="232323"/>
          <w:sz w:val="16"/>
          <w:szCs w:val="26"/>
        </w:rPr>
        <w:t xml:space="preserve"> (</w:t>
      </w:r>
      <w:proofErr w:type="spellStart"/>
      <w:r w:rsidRPr="001B3CF6">
        <w:rPr>
          <w:rFonts w:cs="Arial Black"/>
          <w:b/>
          <w:bCs/>
          <w:color w:val="232323"/>
          <w:sz w:val="16"/>
          <w:szCs w:val="26"/>
        </w:rPr>
        <w:t>pp</w:t>
      </w:r>
      <w:proofErr w:type="spellEnd"/>
      <w:r w:rsidRPr="001B3CF6">
        <w:rPr>
          <w:rFonts w:cs="Arial Black"/>
          <w:b/>
          <w:bCs/>
          <w:color w:val="232323"/>
          <w:sz w:val="16"/>
          <w:szCs w:val="26"/>
        </w:rPr>
        <w:t xml:space="preserve">: 197 a 214). En Didáctica General. La Práctica de la Enseñanza en Educación Infantil, Primaria y Secundaria. Madrid, </w:t>
      </w:r>
      <w:proofErr w:type="spellStart"/>
      <w:r w:rsidRPr="001B3CF6">
        <w:rPr>
          <w:rFonts w:cs="Arial Black"/>
          <w:b/>
          <w:bCs/>
          <w:color w:val="232323"/>
          <w:sz w:val="16"/>
          <w:szCs w:val="26"/>
        </w:rPr>
        <w:t>Mc</w:t>
      </w:r>
      <w:proofErr w:type="spellEnd"/>
      <w:r w:rsidRPr="001B3CF6">
        <w:rPr>
          <w:rFonts w:cs="Arial Black"/>
          <w:b/>
          <w:bCs/>
          <w:color w:val="232323"/>
          <w:sz w:val="16"/>
          <w:szCs w:val="26"/>
        </w:rPr>
        <w:t xml:space="preserve"> </w:t>
      </w:r>
      <w:proofErr w:type="spellStart"/>
      <w:r w:rsidRPr="001B3CF6">
        <w:rPr>
          <w:rFonts w:cs="Arial Black"/>
          <w:b/>
          <w:bCs/>
          <w:color w:val="232323"/>
          <w:sz w:val="16"/>
          <w:szCs w:val="26"/>
        </w:rPr>
        <w:t>Graw</w:t>
      </w:r>
      <w:proofErr w:type="spellEnd"/>
      <w:r w:rsidRPr="001B3CF6">
        <w:rPr>
          <w:rFonts w:cs="Arial Black"/>
          <w:b/>
          <w:bCs/>
          <w:color w:val="232323"/>
          <w:sz w:val="16"/>
          <w:szCs w:val="26"/>
        </w:rPr>
        <w:t xml:space="preserve"> Hill, 2008.</w:t>
      </w:r>
      <w:r w:rsidRPr="001B3CF6">
        <w:rPr>
          <w:rFonts w:cs="Geneva"/>
          <w:b/>
          <w:i/>
          <w:color w:val="232323"/>
          <w:sz w:val="16"/>
          <w:szCs w:val="26"/>
        </w:rPr>
        <w:t xml:space="preserve">Página </w:t>
      </w:r>
      <w:proofErr w:type="spellStart"/>
      <w:r w:rsidRPr="001B3CF6">
        <w:rPr>
          <w:rFonts w:cs="Geneva"/>
          <w:b/>
          <w:i/>
          <w:color w:val="232323"/>
          <w:sz w:val="16"/>
          <w:szCs w:val="26"/>
        </w:rPr>
        <w:t>web</w:t>
      </w:r>
      <w:proofErr w:type="spellEnd"/>
      <w:r w:rsidRPr="001B3CF6">
        <w:rPr>
          <w:rFonts w:cs="Geneva"/>
          <w:b/>
          <w:i/>
          <w:color w:val="232323"/>
          <w:sz w:val="16"/>
          <w:szCs w:val="26"/>
        </w:rPr>
        <w:t>: Educar es transformar. Link: http://kazolas.wix.com/educaytransforma#!bibliografia-bloque-i/ct7f</w:t>
      </w:r>
    </w:p>
    <w:p w:rsidR="00AD578C" w:rsidRDefault="00AD578C" w:rsidP="00AD578C">
      <w:pPr>
        <w:widowControl w:val="0"/>
        <w:autoSpaceDE w:val="0"/>
        <w:autoSpaceDN w:val="0"/>
        <w:adjustRightInd w:val="0"/>
        <w:spacing w:after="260"/>
        <w:ind w:firstLine="708"/>
        <w:jc w:val="both"/>
        <w:rPr>
          <w:rFonts w:cs="Arial"/>
          <w:szCs w:val="26"/>
          <w:lang w:eastAsia="es-ES_tradnl"/>
        </w:rPr>
      </w:pPr>
    </w:p>
    <w:p w:rsidR="00AD578C" w:rsidRPr="009C59CF" w:rsidRDefault="00AD578C" w:rsidP="00AD578C">
      <w:pPr>
        <w:widowControl w:val="0"/>
        <w:autoSpaceDE w:val="0"/>
        <w:autoSpaceDN w:val="0"/>
        <w:adjustRightInd w:val="0"/>
        <w:spacing w:after="260"/>
        <w:ind w:firstLine="708"/>
        <w:jc w:val="both"/>
        <w:rPr>
          <w:rFonts w:cs="Arial"/>
          <w:szCs w:val="26"/>
          <w:lang w:eastAsia="es-ES_tradnl"/>
        </w:rPr>
      </w:pPr>
      <w:r>
        <w:rPr>
          <w:rFonts w:cs="Arial"/>
          <w:szCs w:val="26"/>
          <w:lang w:eastAsia="es-ES_tradnl"/>
        </w:rPr>
        <w:t xml:space="preserve">El desafío a nivel de </w:t>
      </w:r>
      <w:r w:rsidRPr="009C59CF">
        <w:rPr>
          <w:rFonts w:cs="Arial"/>
          <w:szCs w:val="26"/>
          <w:lang w:eastAsia="es-ES_tradnl"/>
        </w:rPr>
        <w:t xml:space="preserve">la gestión educativa, en sociedades </w:t>
      </w:r>
      <w:r>
        <w:rPr>
          <w:rFonts w:cs="Arial"/>
          <w:szCs w:val="26"/>
          <w:lang w:eastAsia="es-ES_tradnl"/>
        </w:rPr>
        <w:t xml:space="preserve">como la nuestra, es salir de la forma  tradicional de gestión, </w:t>
      </w:r>
      <w:r w:rsidRPr="009C59CF">
        <w:rPr>
          <w:rFonts w:cs="Arial"/>
          <w:szCs w:val="26"/>
          <w:lang w:eastAsia="es-ES_tradnl"/>
        </w:rPr>
        <w:t xml:space="preserve"> centrad</w:t>
      </w:r>
      <w:r>
        <w:rPr>
          <w:rFonts w:cs="Arial"/>
          <w:szCs w:val="26"/>
          <w:lang w:eastAsia="es-ES_tradnl"/>
        </w:rPr>
        <w:t>a en las decisiones autocráticas</w:t>
      </w:r>
      <w:r w:rsidRPr="009C59CF">
        <w:rPr>
          <w:rFonts w:cs="Arial"/>
          <w:szCs w:val="26"/>
          <w:lang w:eastAsia="es-ES_tradnl"/>
        </w:rPr>
        <w:t xml:space="preserve">, que </w:t>
      </w:r>
      <w:r>
        <w:rPr>
          <w:rFonts w:cs="Arial"/>
          <w:szCs w:val="26"/>
          <w:lang w:eastAsia="es-ES_tradnl"/>
        </w:rPr>
        <w:t>no logran interpretar</w:t>
      </w:r>
      <w:r w:rsidRPr="009C59CF">
        <w:rPr>
          <w:rFonts w:cs="Arial"/>
          <w:szCs w:val="26"/>
          <w:lang w:eastAsia="es-ES_tradnl"/>
        </w:rPr>
        <w:t xml:space="preserve"> la realidad educativa desde el punto de vista de una necesidad del ser humano,</w:t>
      </w:r>
      <w:r>
        <w:rPr>
          <w:rFonts w:cs="Arial"/>
          <w:szCs w:val="26"/>
          <w:lang w:eastAsia="es-ES_tradnl"/>
        </w:rPr>
        <w:t xml:space="preserve"> que disminuyen la</w:t>
      </w:r>
      <w:r w:rsidRPr="009C59CF">
        <w:rPr>
          <w:rFonts w:cs="Arial"/>
          <w:szCs w:val="26"/>
          <w:lang w:eastAsia="es-ES_tradnl"/>
        </w:rPr>
        <w:t xml:space="preserve"> visión hacia una tendencia a la innovación y transformación </w:t>
      </w:r>
      <w:r>
        <w:rPr>
          <w:rFonts w:cs="Arial"/>
          <w:szCs w:val="26"/>
          <w:lang w:eastAsia="es-ES_tradnl"/>
        </w:rPr>
        <w:t>que finalmente nos permita adaptarnos</w:t>
      </w:r>
      <w:r w:rsidRPr="009C59CF">
        <w:rPr>
          <w:rFonts w:cs="Arial"/>
          <w:szCs w:val="26"/>
          <w:lang w:eastAsia="es-ES_tradnl"/>
        </w:rPr>
        <w:t xml:space="preserve"> a </w:t>
      </w:r>
      <w:r>
        <w:rPr>
          <w:rFonts w:cs="Arial"/>
          <w:szCs w:val="26"/>
          <w:lang w:eastAsia="es-ES_tradnl"/>
        </w:rPr>
        <w:t xml:space="preserve">los nuevos paradigmas </w:t>
      </w:r>
      <w:r w:rsidRPr="009C59CF">
        <w:rPr>
          <w:rFonts w:cs="Arial"/>
          <w:szCs w:val="26"/>
          <w:lang w:eastAsia="es-ES_tradnl"/>
        </w:rPr>
        <w:t>y escenario</w:t>
      </w:r>
      <w:r>
        <w:rPr>
          <w:rFonts w:cs="Arial"/>
          <w:szCs w:val="26"/>
          <w:lang w:eastAsia="es-ES_tradnl"/>
        </w:rPr>
        <w:t>s que el contexto actual nos instala como una nueva realidad educativa</w:t>
      </w:r>
      <w:r w:rsidRPr="009C59CF">
        <w:rPr>
          <w:rFonts w:cs="Arial"/>
          <w:szCs w:val="26"/>
          <w:lang w:eastAsia="es-ES_tradnl"/>
        </w:rPr>
        <w:t xml:space="preserve">. </w:t>
      </w:r>
      <w:r>
        <w:rPr>
          <w:rFonts w:cs="Arial"/>
          <w:szCs w:val="26"/>
          <w:lang w:eastAsia="es-ES_tradnl"/>
        </w:rPr>
        <w:t xml:space="preserve">Tarea no menor, si pensamos que nuestro sistema escolar y de educación superior,  aún creen y validan los sistemas unidireccionales, desmereciendo, en cierto modo,  la interacción continua, la búsqueda conjunta de solución  a los problemas, el dialogo y el establecimiento de objetivos compartidos como comunidad educativa. </w:t>
      </w:r>
    </w:p>
    <w:p w:rsidR="00AD578C" w:rsidRDefault="00AD578C" w:rsidP="00AD578C">
      <w:pPr>
        <w:widowControl w:val="0"/>
        <w:autoSpaceDE w:val="0"/>
        <w:autoSpaceDN w:val="0"/>
        <w:adjustRightInd w:val="0"/>
        <w:spacing w:after="260"/>
        <w:ind w:firstLine="708"/>
        <w:jc w:val="both"/>
        <w:rPr>
          <w:rFonts w:cs="Arial"/>
          <w:szCs w:val="26"/>
          <w:lang w:eastAsia="es-ES_tradnl"/>
        </w:rPr>
      </w:pPr>
      <w:r>
        <w:rPr>
          <w:rFonts w:cs="Arial"/>
          <w:szCs w:val="26"/>
          <w:lang w:eastAsia="es-ES_tradnl"/>
        </w:rPr>
        <w:t>Re - instalando, entonces, la</w:t>
      </w:r>
      <w:r w:rsidRPr="009C59CF">
        <w:rPr>
          <w:rFonts w:cs="Arial"/>
          <w:szCs w:val="26"/>
          <w:lang w:eastAsia="es-ES_tradnl"/>
        </w:rPr>
        <w:t xml:space="preserve"> necesidad de reflexionar s</w:t>
      </w:r>
      <w:r>
        <w:rPr>
          <w:rFonts w:cs="Arial"/>
          <w:szCs w:val="26"/>
          <w:lang w:eastAsia="es-ES_tradnl"/>
        </w:rPr>
        <w:t>obre el papel de la educación en</w:t>
      </w:r>
      <w:r w:rsidRPr="009C59CF">
        <w:rPr>
          <w:rFonts w:cs="Arial"/>
          <w:szCs w:val="26"/>
          <w:lang w:eastAsia="es-ES_tradnl"/>
        </w:rPr>
        <w:t xml:space="preserve"> la construcción de una s</w:t>
      </w:r>
      <w:r>
        <w:rPr>
          <w:rFonts w:cs="Arial"/>
          <w:szCs w:val="26"/>
          <w:lang w:eastAsia="es-ES_tradnl"/>
        </w:rPr>
        <w:t>ociedad justa y digna</w:t>
      </w:r>
      <w:r w:rsidRPr="009C59CF">
        <w:rPr>
          <w:rFonts w:cs="Arial"/>
          <w:szCs w:val="26"/>
          <w:lang w:eastAsia="es-ES_tradnl"/>
        </w:rPr>
        <w:t xml:space="preserve"> en valores que promueva</w:t>
      </w:r>
      <w:r>
        <w:rPr>
          <w:rFonts w:cs="Arial"/>
          <w:szCs w:val="26"/>
          <w:lang w:eastAsia="es-ES_tradnl"/>
        </w:rPr>
        <w:t>n</w:t>
      </w:r>
      <w:r w:rsidRPr="009C59CF">
        <w:rPr>
          <w:rFonts w:cs="Arial"/>
          <w:szCs w:val="26"/>
          <w:lang w:eastAsia="es-ES_tradnl"/>
        </w:rPr>
        <w:t xml:space="preserve"> la educación como centro de formación de nuevos conocimientos, trans</w:t>
      </w:r>
      <w:r>
        <w:rPr>
          <w:rFonts w:cs="Arial"/>
          <w:szCs w:val="26"/>
          <w:lang w:eastAsia="es-ES_tradnl"/>
        </w:rPr>
        <w:t xml:space="preserve">formaciones y cambios sociales, donde </w:t>
      </w:r>
      <w:r w:rsidRPr="009C59CF">
        <w:rPr>
          <w:rFonts w:cs="Arial"/>
          <w:szCs w:val="26"/>
          <w:lang w:eastAsia="es-ES_tradnl"/>
        </w:rPr>
        <w:t xml:space="preserve">la ética </w:t>
      </w:r>
      <w:r>
        <w:rPr>
          <w:rFonts w:cs="Arial"/>
          <w:szCs w:val="26"/>
          <w:lang w:eastAsia="es-ES_tradnl"/>
        </w:rPr>
        <w:t>permita, como reflexión,</w:t>
      </w:r>
      <w:r w:rsidRPr="009C59CF">
        <w:rPr>
          <w:rFonts w:cs="Arial"/>
          <w:szCs w:val="26"/>
          <w:lang w:eastAsia="es-ES_tradnl"/>
        </w:rPr>
        <w:t xml:space="preserve"> orientar con efectividad la gestión educativa.</w:t>
      </w:r>
      <w:r>
        <w:rPr>
          <w:rFonts w:cs="Arial"/>
          <w:szCs w:val="26"/>
          <w:lang w:eastAsia="es-ES_tradnl"/>
        </w:rPr>
        <w:t xml:space="preserve"> Re – tomando el significado de la palabra vocación educativa, en el sentido de llamar o convocar en pos del bien universal, a partir del trabajo o el desarrollo de la profesión docente orientada al servicio y la responsabilidad social, visión altruista, tal vez para muchos, pero que sin embargo constituye el sentido ético de la profesión y de la gestión en educación, propiamente tal.</w:t>
      </w:r>
    </w:p>
    <w:p w:rsidR="00AD578C" w:rsidRDefault="00AD578C" w:rsidP="00AD578C">
      <w:pPr>
        <w:widowControl w:val="0"/>
        <w:autoSpaceDE w:val="0"/>
        <w:autoSpaceDN w:val="0"/>
        <w:adjustRightInd w:val="0"/>
        <w:spacing w:after="260"/>
        <w:ind w:firstLine="708"/>
        <w:jc w:val="both"/>
        <w:rPr>
          <w:rFonts w:cs="Arial"/>
          <w:szCs w:val="26"/>
          <w:lang w:eastAsia="es-ES_tradnl"/>
        </w:rPr>
      </w:pPr>
      <w:r>
        <w:rPr>
          <w:rFonts w:cs="Arial"/>
          <w:noProof/>
          <w:szCs w:val="26"/>
          <w:lang w:eastAsia="es-ES_tradnl"/>
        </w:rPr>
        <w:drawing>
          <wp:inline distT="0" distB="0" distL="0" distR="0">
            <wp:extent cx="4347845" cy="2665730"/>
            <wp:effectExtent l="0" t="0" r="0" b="0"/>
            <wp:docPr id="8" name="O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1" cy="5715578"/>
                      <a:chOff x="0" y="317532"/>
                      <a:chExt cx="9144001" cy="5715578"/>
                    </a:xfrm>
                  </a:grpSpPr>
                  <a:sp>
                    <a:nvSpPr>
                      <a:cNvPr id="5" name="Rectángulo redondeado 4"/>
                      <a:cNvSpPr/>
                    </a:nvSpPr>
                    <a:spPr>
                      <a:xfrm>
                        <a:off x="2553902" y="317532"/>
                        <a:ext cx="4196680" cy="1063042"/>
                      </a:xfrm>
                      <a:prstGeom prst="roundRect">
                        <a:avLst/>
                      </a:prstGeom>
                    </a:spPr>
                    <a:txSp>
                      <a:txBody>
                        <a:bodyPr anchor="ctr">
                          <a:prstTxWarp prst="textNoShape">
                            <a:avLst/>
                          </a:prstTxWarp>
                        </a:bodyPr>
                        <a:lstStyle>
                          <a:defPPr>
                            <a:defRPr lang="es-ES_tradnl"/>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algn="ctr">
                            <a:defRPr/>
                          </a:pPr>
                          <a:r>
                            <a:rPr lang="es-CL" sz="2400" b="1" i="1" dirty="0" smtClean="0">
                              <a:solidFill>
                                <a:schemeClr val="tx1"/>
                              </a:solidFill>
                              <a:ea typeface="ＭＳ Ｐゴシック" pitchFamily="-110" charset="-128"/>
                              <a:cs typeface="ＭＳ Ｐゴシック" pitchFamily="-110" charset="-128"/>
                            </a:rPr>
                            <a:t>Modelo </a:t>
                          </a:r>
                          <a:r>
                            <a:rPr lang="es-CL" sz="2400" b="1" i="1" dirty="0">
                              <a:solidFill>
                                <a:schemeClr val="tx1"/>
                              </a:solidFill>
                              <a:ea typeface="ＭＳ Ｐゴシック" pitchFamily="-110" charset="-128"/>
                              <a:cs typeface="ＭＳ Ｐゴシック" pitchFamily="-110" charset="-128"/>
                            </a:rPr>
                            <a:t>integrado se construye a partir de la integración de </a:t>
                          </a:r>
                          <a:endParaRPr lang="es-ES_tradnl" sz="2400" b="1" i="1" dirty="0">
                            <a:solidFill>
                              <a:schemeClr val="tx1"/>
                            </a:solidFill>
                            <a:ea typeface="ＭＳ Ｐゴシック" pitchFamily="-110" charset="-128"/>
                            <a:cs typeface="ＭＳ Ｐゴシック" pitchFamily="-110" charset="-128"/>
                          </a:endParaRPr>
                        </a:p>
                      </a:txBody>
                      <a:useSpRect/>
                    </a:txSp>
                    <a:style>
                      <a:lnRef idx="0">
                        <a:schemeClr val="accent6"/>
                      </a:lnRef>
                      <a:fillRef idx="3">
                        <a:schemeClr val="accent6"/>
                      </a:fillRef>
                      <a:effectRef idx="3">
                        <a:schemeClr val="accent6"/>
                      </a:effectRef>
                      <a:fontRef idx="minor">
                        <a:schemeClr val="lt1"/>
                      </a:fontRef>
                    </a:style>
                  </a:sp>
                  <a:cxnSp>
                    <a:nvCxnSpPr>
                      <a:cNvPr id="7" name="Conector recto de flecha 6"/>
                      <a:cNvCxnSpPr/>
                    </a:nvCxnSpPr>
                    <a:spPr>
                      <a:xfrm rot="10800000" flipV="1">
                        <a:off x="1339850" y="1146175"/>
                        <a:ext cx="1214438" cy="690563"/>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10" name="Conector recto de flecha 9"/>
                      <a:cNvCxnSpPr/>
                    </a:nvCxnSpPr>
                    <a:spPr>
                      <a:xfrm rot="5400000">
                        <a:off x="2974975" y="2974975"/>
                        <a:ext cx="3201988" cy="14288"/>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12" name="Conector recto de flecha 11"/>
                      <a:cNvCxnSpPr>
                        <a:endCxn id="0" idx="0"/>
                      </a:cNvCxnSpPr>
                    </a:nvCxnSpPr>
                    <a:spPr>
                      <a:xfrm rot="5400000">
                        <a:off x="721519" y="1999456"/>
                        <a:ext cx="2933700" cy="1697038"/>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14" name="Conector recto de flecha 13"/>
                      <a:cNvCxnSpPr/>
                    </a:nvCxnSpPr>
                    <a:spPr>
                      <a:xfrm rot="5400000">
                        <a:off x="3016250" y="1857375"/>
                        <a:ext cx="1228725" cy="276225"/>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16" name="Conector recto de flecha 15"/>
                      <a:cNvCxnSpPr/>
                    </a:nvCxnSpPr>
                    <a:spPr>
                      <a:xfrm>
                        <a:off x="6750050" y="1146175"/>
                        <a:ext cx="898525" cy="690563"/>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18" name="Conector recto de flecha 17"/>
                      <a:cNvCxnSpPr/>
                    </a:nvCxnSpPr>
                    <a:spPr>
                      <a:xfrm rot="16200000" flipH="1">
                        <a:off x="5235576" y="2151062"/>
                        <a:ext cx="2933700" cy="1393825"/>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20" name="Conector recto de flecha 19"/>
                      <a:cNvCxnSpPr/>
                    </a:nvCxnSpPr>
                    <a:spPr>
                      <a:xfrm rot="16200000" flipH="1">
                        <a:off x="4934744" y="1788319"/>
                        <a:ext cx="1228725" cy="414337"/>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sp>
                    <a:nvSpPr>
                      <a:cNvPr id="23" name="Rectángulo redondeado 22"/>
                      <a:cNvSpPr/>
                    </a:nvSpPr>
                    <a:spPr>
                      <a:xfrm>
                        <a:off x="0" y="1836163"/>
                        <a:ext cx="2146659" cy="1058210"/>
                      </a:xfrm>
                      <a:prstGeom prst="roundRect">
                        <a:avLst/>
                      </a:prstGeom>
                    </a:spPr>
                    <a:txSp>
                      <a:txBody>
                        <a:bodyPr anchor="ctr"/>
                        <a:lstStyle>
                          <a:defPPr>
                            <a:defRPr lang="es-ES_tradnl"/>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indent="-514350" algn="ctr">
                            <a:defRPr/>
                          </a:pPr>
                          <a:r>
                            <a:rPr lang="es-CL" sz="2000" b="1" i="1" dirty="0">
                              <a:solidFill>
                                <a:schemeClr val="tx1"/>
                              </a:solidFill>
                            </a:rPr>
                            <a:t>La elaboración democrática de normas.</a:t>
                          </a:r>
                        </a:p>
                      </a:txBody>
                      <a:useSpRect/>
                    </a:txSp>
                    <a:style>
                      <a:lnRef idx="0">
                        <a:schemeClr val="accent6"/>
                      </a:lnRef>
                      <a:fillRef idx="3">
                        <a:schemeClr val="accent6"/>
                      </a:fillRef>
                      <a:effectRef idx="3">
                        <a:schemeClr val="accent6"/>
                      </a:effectRef>
                      <a:fontRef idx="minor">
                        <a:schemeClr val="lt1"/>
                      </a:fontRef>
                    </a:style>
                  </a:sp>
                  <a:sp>
                    <a:nvSpPr>
                      <a:cNvPr id="25" name="Rectángulo redondeado 24"/>
                      <a:cNvSpPr/>
                    </a:nvSpPr>
                    <a:spPr>
                      <a:xfrm>
                        <a:off x="151852" y="4314292"/>
                        <a:ext cx="2374439" cy="1449601"/>
                      </a:xfrm>
                      <a:prstGeom prst="roundRect">
                        <a:avLst/>
                      </a:prstGeom>
                    </a:spPr>
                    <a:txSp>
                      <a:txBody>
                        <a:bodyPr anchor="ctr"/>
                        <a:lstStyle>
                          <a:defPPr>
                            <a:defRPr lang="es-ES_tradnl"/>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indent="-514350" algn="ctr">
                            <a:defRPr/>
                          </a:pPr>
                          <a:r>
                            <a:rPr lang="es-CL" sz="2000" b="1" i="1" dirty="0">
                              <a:solidFill>
                                <a:schemeClr val="tx1"/>
                              </a:solidFill>
                            </a:rPr>
                            <a:t>La potenciación de sistemas de diálogo para el tratamiento de los conflictos.</a:t>
                          </a:r>
                        </a:p>
                      </a:txBody>
                      <a:useSpRect/>
                    </a:txSp>
                    <a:style>
                      <a:lnRef idx="0">
                        <a:schemeClr val="accent6"/>
                      </a:lnRef>
                      <a:fillRef idx="3">
                        <a:schemeClr val="accent6"/>
                      </a:fillRef>
                      <a:effectRef idx="3">
                        <a:schemeClr val="accent6"/>
                      </a:effectRef>
                      <a:fontRef idx="minor">
                        <a:schemeClr val="lt1"/>
                      </a:fontRef>
                    </a:style>
                  </a:sp>
                  <a:sp>
                    <a:nvSpPr>
                      <a:cNvPr id="27" name="Rectángulo redondeado 26"/>
                      <a:cNvSpPr/>
                    </a:nvSpPr>
                    <a:spPr>
                      <a:xfrm>
                        <a:off x="2208776" y="2609284"/>
                        <a:ext cx="2374439" cy="1449601"/>
                      </a:xfrm>
                      <a:prstGeom prst="roundRect">
                        <a:avLst/>
                      </a:prstGeom>
                    </a:spPr>
                    <a:txSp>
                      <a:txBody>
                        <a:bodyPr anchor="ctr"/>
                        <a:lstStyle>
                          <a:defPPr>
                            <a:defRPr lang="es-ES_tradnl"/>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indent="-538163" algn="ctr">
                            <a:defRPr/>
                          </a:pPr>
                          <a:r>
                            <a:rPr lang="es-CL" sz="2000" b="1" i="1" dirty="0">
                              <a:solidFill>
                                <a:schemeClr val="tx1"/>
                              </a:solidFill>
                            </a:rPr>
                            <a:t>la gestión democrática del currículum y la  organización del aula y centro.</a:t>
                          </a:r>
                        </a:p>
                      </a:txBody>
                      <a:useSpRect/>
                    </a:txSp>
                    <a:style>
                      <a:lnRef idx="0">
                        <a:schemeClr val="accent6"/>
                      </a:lnRef>
                      <a:fillRef idx="3">
                        <a:schemeClr val="accent6"/>
                      </a:fillRef>
                      <a:effectRef idx="3">
                        <a:schemeClr val="accent6"/>
                      </a:effectRef>
                      <a:fontRef idx="minor">
                        <a:schemeClr val="lt1"/>
                      </a:fontRef>
                    </a:style>
                  </a:sp>
                  <a:sp>
                    <a:nvSpPr>
                      <a:cNvPr id="30" name="Rectángulo redondeado 29"/>
                      <a:cNvSpPr/>
                    </a:nvSpPr>
                    <a:spPr>
                      <a:xfrm>
                        <a:off x="3382190" y="4583509"/>
                        <a:ext cx="2374439" cy="1449601"/>
                      </a:xfrm>
                      <a:prstGeom prst="roundRect">
                        <a:avLst/>
                      </a:prstGeom>
                    </a:spPr>
                    <a:txSp>
                      <a:txBody>
                        <a:bodyPr anchor="ctr"/>
                        <a:lstStyle>
                          <a:defPPr>
                            <a:defRPr lang="es-ES_tradnl"/>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indent="-538163" algn="ctr">
                            <a:defRPr/>
                          </a:pPr>
                          <a:r>
                            <a:rPr lang="es-CL" sz="2000" b="1" i="1" dirty="0">
                              <a:solidFill>
                                <a:schemeClr val="tx1"/>
                              </a:solidFill>
                            </a:rPr>
                            <a:t>Fomentar la creación de normas propias dentro del grupo.</a:t>
                          </a:r>
                        </a:p>
                      </a:txBody>
                      <a:useSpRect/>
                    </a:txSp>
                    <a:style>
                      <a:lnRef idx="0">
                        <a:schemeClr val="accent6"/>
                      </a:lnRef>
                      <a:fillRef idx="3">
                        <a:schemeClr val="accent6"/>
                      </a:fillRef>
                      <a:effectRef idx="3">
                        <a:schemeClr val="accent6"/>
                      </a:effectRef>
                      <a:fontRef idx="minor">
                        <a:schemeClr val="lt1"/>
                      </a:fontRef>
                    </a:style>
                  </a:sp>
                  <a:sp>
                    <a:nvSpPr>
                      <a:cNvPr id="31" name="Rectángulo redondeado 30"/>
                      <a:cNvSpPr/>
                    </a:nvSpPr>
                    <a:spPr>
                      <a:xfrm>
                        <a:off x="4721809" y="2609284"/>
                        <a:ext cx="1863113" cy="1449601"/>
                      </a:xfrm>
                      <a:prstGeom prst="roundRect">
                        <a:avLst/>
                      </a:prstGeom>
                    </a:spPr>
                    <a:txSp>
                      <a:txBody>
                        <a:bodyPr anchor="ctr"/>
                        <a:lstStyle>
                          <a:defPPr>
                            <a:defRPr lang="es-ES_tradnl"/>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indent="-538163" algn="ctr">
                            <a:defRPr/>
                          </a:pPr>
                          <a:r>
                            <a:rPr lang="es-CL" sz="2000" b="1" i="1" dirty="0">
                              <a:solidFill>
                                <a:schemeClr val="tx1"/>
                              </a:solidFill>
                            </a:rPr>
                            <a:t>Potenciar una comunicación de calidad</a:t>
                          </a:r>
                        </a:p>
                      </a:txBody>
                      <a:useSpRect/>
                    </a:txSp>
                    <a:style>
                      <a:lnRef idx="0">
                        <a:schemeClr val="accent6"/>
                      </a:lnRef>
                      <a:fillRef idx="3">
                        <a:schemeClr val="accent6"/>
                      </a:fillRef>
                      <a:effectRef idx="3">
                        <a:schemeClr val="accent6"/>
                      </a:effectRef>
                      <a:fontRef idx="minor">
                        <a:schemeClr val="lt1"/>
                      </a:fontRef>
                    </a:style>
                  </a:sp>
                  <a:sp>
                    <a:nvSpPr>
                      <a:cNvPr id="34" name="Rectángulo redondeado 33"/>
                      <a:cNvSpPr/>
                    </a:nvSpPr>
                    <a:spPr>
                      <a:xfrm>
                        <a:off x="6212190" y="4314294"/>
                        <a:ext cx="2374439" cy="904275"/>
                      </a:xfrm>
                      <a:prstGeom prst="roundRect">
                        <a:avLst/>
                      </a:prstGeom>
                    </a:spPr>
                    <a:txSp>
                      <a:txBody>
                        <a:bodyPr anchor="ctr"/>
                        <a:lstStyle>
                          <a:defPPr>
                            <a:defRPr lang="es-ES_tradnl"/>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indent="-538163" algn="ctr">
                            <a:defRPr/>
                          </a:pPr>
                          <a:r>
                            <a:rPr lang="es-CL" sz="2400" dirty="0"/>
                            <a:t> </a:t>
                          </a:r>
                          <a:r>
                            <a:rPr lang="es-CL" sz="2000" b="1" i="1" dirty="0">
                              <a:solidFill>
                                <a:schemeClr val="tx1"/>
                              </a:solidFill>
                            </a:rPr>
                            <a:t>Promover el sentido de pertenencia.</a:t>
                          </a:r>
                        </a:p>
                      </a:txBody>
                      <a:useSpRect/>
                    </a:txSp>
                    <a:style>
                      <a:lnRef idx="0">
                        <a:schemeClr val="accent6"/>
                      </a:lnRef>
                      <a:fillRef idx="3">
                        <a:schemeClr val="accent6"/>
                      </a:fillRef>
                      <a:effectRef idx="3">
                        <a:schemeClr val="accent6"/>
                      </a:effectRef>
                      <a:fontRef idx="minor">
                        <a:schemeClr val="lt1"/>
                      </a:fontRef>
                    </a:style>
                  </a:sp>
                  <a:sp>
                    <a:nvSpPr>
                      <a:cNvPr id="35" name="Rectángulo redondeado 34"/>
                      <a:cNvSpPr/>
                    </a:nvSpPr>
                    <a:spPr>
                      <a:xfrm>
                        <a:off x="7096249" y="1884483"/>
                        <a:ext cx="2047752" cy="1449601"/>
                      </a:xfrm>
                      <a:prstGeom prst="roundRect">
                        <a:avLst/>
                      </a:prstGeom>
                    </a:spPr>
                    <a:txSp>
                      <a:txBody>
                        <a:bodyPr anchor="ctr"/>
                        <a:lstStyle>
                          <a:defPPr>
                            <a:defRPr lang="es-ES_tradnl"/>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457200" rtl="0" eaLnBrk="1" latinLnBrk="0" hangingPunct="1">
                            <a:defRPr kern="1200">
                              <a:solidFill>
                                <a:schemeClr val="lt1"/>
                              </a:solidFill>
                              <a:latin typeface="+mn-lt"/>
                              <a:ea typeface="+mn-ea"/>
                              <a:cs typeface="+mn-cs"/>
                            </a:defRPr>
                          </a:lvl6pPr>
                          <a:lvl7pPr marL="2743200" algn="l" defTabSz="457200" rtl="0" eaLnBrk="1" latinLnBrk="0" hangingPunct="1">
                            <a:defRPr kern="1200">
                              <a:solidFill>
                                <a:schemeClr val="lt1"/>
                              </a:solidFill>
                              <a:latin typeface="+mn-lt"/>
                              <a:ea typeface="+mn-ea"/>
                              <a:cs typeface="+mn-cs"/>
                            </a:defRPr>
                          </a:lvl7pPr>
                          <a:lvl8pPr marL="3200400" algn="l" defTabSz="457200" rtl="0" eaLnBrk="1" latinLnBrk="0" hangingPunct="1">
                            <a:defRPr kern="1200">
                              <a:solidFill>
                                <a:schemeClr val="lt1"/>
                              </a:solidFill>
                              <a:latin typeface="+mn-lt"/>
                              <a:ea typeface="+mn-ea"/>
                              <a:cs typeface="+mn-cs"/>
                            </a:defRPr>
                          </a:lvl8pPr>
                          <a:lvl9pPr marL="3657600" algn="l" defTabSz="457200" rtl="0" eaLnBrk="1" latinLnBrk="0" hangingPunct="1">
                            <a:defRPr kern="1200">
                              <a:solidFill>
                                <a:schemeClr val="lt1"/>
                              </a:solidFill>
                              <a:latin typeface="+mn-lt"/>
                              <a:ea typeface="+mn-ea"/>
                              <a:cs typeface="+mn-cs"/>
                            </a:defRPr>
                          </a:lvl9pPr>
                        </a:lstStyle>
                        <a:p>
                          <a:pPr indent="-538163" algn="ctr">
                            <a:defRPr/>
                          </a:pPr>
                          <a:r>
                            <a:rPr lang="es-CL" sz="2000" b="1" i="1" dirty="0">
                              <a:solidFill>
                                <a:schemeClr val="tx1"/>
                              </a:solidFill>
                            </a:rPr>
                            <a:t>Cuidar los procesos de vida de los grupos</a:t>
                          </a:r>
                        </a:p>
                      </a:txBody>
                      <a:useSpRect/>
                    </a:txSp>
                    <a:style>
                      <a:lnRef idx="0">
                        <a:schemeClr val="accent6"/>
                      </a:lnRef>
                      <a:fillRef idx="3">
                        <a:schemeClr val="accent6"/>
                      </a:fillRef>
                      <a:effectRef idx="3">
                        <a:schemeClr val="accent6"/>
                      </a:effectRef>
                      <a:fontRef idx="minor">
                        <a:schemeClr val="lt1"/>
                      </a:fontRef>
                    </a:style>
                  </a:sp>
                </lc:lockedCanvas>
              </a:graphicData>
            </a:graphic>
          </wp:inline>
        </w:drawing>
      </w:r>
    </w:p>
    <w:p w:rsidR="00AD578C" w:rsidRDefault="00AD578C" w:rsidP="00AD578C">
      <w:pPr>
        <w:widowControl w:val="0"/>
        <w:autoSpaceDE w:val="0"/>
        <w:autoSpaceDN w:val="0"/>
        <w:adjustRightInd w:val="0"/>
        <w:jc w:val="both"/>
        <w:rPr>
          <w:rFonts w:cs="Geneva"/>
          <w:szCs w:val="26"/>
          <w:lang w:eastAsia="es-ES_tradnl"/>
        </w:rPr>
      </w:pPr>
      <w:r w:rsidRPr="001B3CF6">
        <w:rPr>
          <w:rFonts w:cs="Geneva"/>
          <w:b/>
          <w:i/>
          <w:color w:val="232323"/>
          <w:sz w:val="16"/>
          <w:szCs w:val="26"/>
        </w:rPr>
        <w:t xml:space="preserve">Presentación: </w:t>
      </w:r>
      <w:r w:rsidRPr="001B3CF6">
        <w:rPr>
          <w:rFonts w:cs="Arial Black"/>
          <w:b/>
          <w:bCs/>
          <w:color w:val="232323"/>
          <w:sz w:val="16"/>
          <w:szCs w:val="26"/>
        </w:rPr>
        <w:t xml:space="preserve">Presentación Capítulo 10: El Profesor como gestor del aula. Juan Carlos </w:t>
      </w:r>
      <w:proofErr w:type="spellStart"/>
      <w:r w:rsidRPr="001B3CF6">
        <w:rPr>
          <w:rFonts w:cs="Arial Black"/>
          <w:b/>
          <w:bCs/>
          <w:color w:val="232323"/>
          <w:sz w:val="16"/>
          <w:szCs w:val="26"/>
        </w:rPr>
        <w:t>Torrego</w:t>
      </w:r>
      <w:proofErr w:type="spellEnd"/>
      <w:r w:rsidRPr="001B3CF6">
        <w:rPr>
          <w:rFonts w:cs="Arial Black"/>
          <w:b/>
          <w:bCs/>
          <w:color w:val="232323"/>
          <w:sz w:val="16"/>
          <w:szCs w:val="26"/>
        </w:rPr>
        <w:t xml:space="preserve"> (</w:t>
      </w:r>
      <w:proofErr w:type="spellStart"/>
      <w:r w:rsidRPr="001B3CF6">
        <w:rPr>
          <w:rFonts w:cs="Arial Black"/>
          <w:b/>
          <w:bCs/>
          <w:color w:val="232323"/>
          <w:sz w:val="16"/>
          <w:szCs w:val="26"/>
        </w:rPr>
        <w:t>pp</w:t>
      </w:r>
      <w:proofErr w:type="spellEnd"/>
      <w:r w:rsidRPr="001B3CF6">
        <w:rPr>
          <w:rFonts w:cs="Arial Black"/>
          <w:b/>
          <w:bCs/>
          <w:color w:val="232323"/>
          <w:sz w:val="16"/>
          <w:szCs w:val="26"/>
        </w:rPr>
        <w:t xml:space="preserve">: 197 a 214). En Didáctica General. La Práctica de la Enseñanza en Educación Infantil, Primaria y Secundaria. Madrid, </w:t>
      </w:r>
      <w:proofErr w:type="spellStart"/>
      <w:r w:rsidRPr="001B3CF6">
        <w:rPr>
          <w:rFonts w:cs="Arial Black"/>
          <w:b/>
          <w:bCs/>
          <w:color w:val="232323"/>
          <w:sz w:val="16"/>
          <w:szCs w:val="26"/>
        </w:rPr>
        <w:t>Mc</w:t>
      </w:r>
      <w:proofErr w:type="spellEnd"/>
      <w:r w:rsidRPr="001B3CF6">
        <w:rPr>
          <w:rFonts w:cs="Arial Black"/>
          <w:b/>
          <w:bCs/>
          <w:color w:val="232323"/>
          <w:sz w:val="16"/>
          <w:szCs w:val="26"/>
        </w:rPr>
        <w:t xml:space="preserve"> </w:t>
      </w:r>
      <w:proofErr w:type="spellStart"/>
      <w:r w:rsidRPr="001B3CF6">
        <w:rPr>
          <w:rFonts w:cs="Arial Black"/>
          <w:b/>
          <w:bCs/>
          <w:color w:val="232323"/>
          <w:sz w:val="16"/>
          <w:szCs w:val="26"/>
        </w:rPr>
        <w:t>Graw</w:t>
      </w:r>
      <w:proofErr w:type="spellEnd"/>
      <w:r w:rsidRPr="001B3CF6">
        <w:rPr>
          <w:rFonts w:cs="Arial Black"/>
          <w:b/>
          <w:bCs/>
          <w:color w:val="232323"/>
          <w:sz w:val="16"/>
          <w:szCs w:val="26"/>
        </w:rPr>
        <w:t xml:space="preserve"> Hill, 2008.</w:t>
      </w:r>
      <w:r w:rsidRPr="001B3CF6">
        <w:rPr>
          <w:rFonts w:cs="Geneva"/>
          <w:b/>
          <w:i/>
          <w:color w:val="232323"/>
          <w:sz w:val="16"/>
          <w:szCs w:val="26"/>
        </w:rPr>
        <w:t xml:space="preserve">Página </w:t>
      </w:r>
      <w:proofErr w:type="spellStart"/>
      <w:r w:rsidRPr="001B3CF6">
        <w:rPr>
          <w:rFonts w:cs="Geneva"/>
          <w:b/>
          <w:i/>
          <w:color w:val="232323"/>
          <w:sz w:val="16"/>
          <w:szCs w:val="26"/>
        </w:rPr>
        <w:t>web</w:t>
      </w:r>
      <w:proofErr w:type="spellEnd"/>
      <w:r w:rsidRPr="001B3CF6">
        <w:rPr>
          <w:rFonts w:cs="Geneva"/>
          <w:b/>
          <w:i/>
          <w:color w:val="232323"/>
          <w:sz w:val="16"/>
          <w:szCs w:val="26"/>
        </w:rPr>
        <w:t xml:space="preserve">: Educar es transformar. Link: </w:t>
      </w:r>
      <w:hyperlink r:id="rId13" w:history="1">
        <w:r w:rsidRPr="0041307F">
          <w:rPr>
            <w:rStyle w:val="Hipervnculo"/>
            <w:rFonts w:cs="Geneva"/>
            <w:b/>
            <w:i/>
            <w:sz w:val="16"/>
            <w:szCs w:val="26"/>
          </w:rPr>
          <w:t>http://kazolas.wix.com/educaytransforma#!bibliografia-bloque-i/ct7f</w:t>
        </w:r>
      </w:hyperlink>
    </w:p>
    <w:p w:rsidR="00AD578C" w:rsidRPr="00E57FF4" w:rsidRDefault="00AD578C" w:rsidP="00AD578C">
      <w:pPr>
        <w:widowControl w:val="0"/>
        <w:autoSpaceDE w:val="0"/>
        <w:autoSpaceDN w:val="0"/>
        <w:adjustRightInd w:val="0"/>
        <w:jc w:val="both"/>
        <w:rPr>
          <w:rFonts w:cs="Geneva"/>
          <w:szCs w:val="26"/>
          <w:lang w:eastAsia="es-ES_tradnl"/>
        </w:rPr>
      </w:pPr>
    </w:p>
    <w:p w:rsidR="00AD578C" w:rsidRDefault="00AD578C" w:rsidP="00AD578C">
      <w:pPr>
        <w:widowControl w:val="0"/>
        <w:autoSpaceDE w:val="0"/>
        <w:autoSpaceDN w:val="0"/>
        <w:adjustRightInd w:val="0"/>
        <w:spacing w:after="260"/>
        <w:ind w:firstLine="708"/>
        <w:jc w:val="both"/>
        <w:rPr>
          <w:rFonts w:cs="Arial"/>
          <w:szCs w:val="26"/>
          <w:lang w:eastAsia="es-ES_tradnl"/>
        </w:rPr>
      </w:pPr>
      <w:r w:rsidRPr="009C59CF">
        <w:rPr>
          <w:rFonts w:cs="Arial"/>
          <w:szCs w:val="26"/>
          <w:lang w:eastAsia="es-ES_tradnl"/>
        </w:rPr>
        <w:t xml:space="preserve">En un mundo globalizado y altamente competitivo como el de nuestros días, se requiere una </w:t>
      </w:r>
      <w:proofErr w:type="spellStart"/>
      <w:r w:rsidRPr="009C59CF">
        <w:rPr>
          <w:rFonts w:cs="Arial"/>
          <w:szCs w:val="26"/>
          <w:lang w:eastAsia="es-ES_tradnl"/>
        </w:rPr>
        <w:t>recontextualización</w:t>
      </w:r>
      <w:proofErr w:type="spellEnd"/>
      <w:r w:rsidRPr="009C59CF">
        <w:rPr>
          <w:rFonts w:cs="Arial"/>
          <w:szCs w:val="26"/>
          <w:lang w:eastAsia="es-ES_tradnl"/>
        </w:rPr>
        <w:t xml:space="preserve"> de la educación que tome en cuenta </w:t>
      </w:r>
      <w:r>
        <w:rPr>
          <w:rFonts w:cs="Arial"/>
          <w:szCs w:val="26"/>
          <w:lang w:eastAsia="es-ES_tradnl"/>
        </w:rPr>
        <w:t>el entorno que la rodea,</w:t>
      </w:r>
      <w:r w:rsidRPr="009C59CF">
        <w:rPr>
          <w:rFonts w:cs="Arial"/>
          <w:szCs w:val="26"/>
          <w:lang w:eastAsia="es-ES_tradnl"/>
        </w:rPr>
        <w:t xml:space="preserve"> </w:t>
      </w:r>
      <w:r>
        <w:rPr>
          <w:rFonts w:cs="Arial"/>
          <w:szCs w:val="26"/>
          <w:lang w:eastAsia="es-ES_tradnl"/>
        </w:rPr>
        <w:t>la</w:t>
      </w:r>
      <w:r w:rsidRPr="009C59CF">
        <w:rPr>
          <w:rFonts w:cs="Arial"/>
          <w:szCs w:val="26"/>
          <w:lang w:eastAsia="es-ES_tradnl"/>
        </w:rPr>
        <w:t xml:space="preserve"> realidad </w:t>
      </w:r>
      <w:r>
        <w:rPr>
          <w:rFonts w:cs="Arial"/>
          <w:szCs w:val="26"/>
          <w:lang w:eastAsia="es-ES_tradnl"/>
        </w:rPr>
        <w:t xml:space="preserve">que </w:t>
      </w:r>
      <w:r w:rsidRPr="009C59CF">
        <w:rPr>
          <w:rFonts w:cs="Arial"/>
          <w:szCs w:val="26"/>
          <w:lang w:eastAsia="es-ES_tradnl"/>
        </w:rPr>
        <w:t xml:space="preserve">es impredecible y compleja y </w:t>
      </w:r>
      <w:r>
        <w:rPr>
          <w:rFonts w:cs="Arial"/>
          <w:szCs w:val="26"/>
          <w:lang w:eastAsia="es-ES_tradnl"/>
        </w:rPr>
        <w:t xml:space="preserve">que por tanto </w:t>
      </w:r>
      <w:r w:rsidRPr="009C59CF">
        <w:rPr>
          <w:rFonts w:cs="Arial"/>
          <w:szCs w:val="26"/>
          <w:lang w:eastAsia="es-ES_tradnl"/>
        </w:rPr>
        <w:t xml:space="preserve">demanda una educación pluralista, sometida </w:t>
      </w:r>
      <w:r>
        <w:rPr>
          <w:rFonts w:cs="Arial"/>
          <w:szCs w:val="26"/>
          <w:lang w:eastAsia="es-ES_tradnl"/>
        </w:rPr>
        <w:t xml:space="preserve">al cambio permanente y profundo, una educación innovadora, </w:t>
      </w:r>
      <w:r w:rsidRPr="009C59CF">
        <w:rPr>
          <w:rFonts w:cs="Arial"/>
          <w:szCs w:val="26"/>
          <w:lang w:eastAsia="es-ES_tradnl"/>
        </w:rPr>
        <w:t xml:space="preserve">proactiva </w:t>
      </w:r>
      <w:r>
        <w:rPr>
          <w:rFonts w:cs="Arial"/>
          <w:szCs w:val="26"/>
          <w:lang w:eastAsia="es-ES_tradnl"/>
        </w:rPr>
        <w:t>e integracionista, asumiendo una dimensión integral que promueva</w:t>
      </w:r>
      <w:r w:rsidRPr="009C59CF">
        <w:rPr>
          <w:rFonts w:cs="Arial"/>
          <w:szCs w:val="26"/>
          <w:lang w:eastAsia="es-ES_tradnl"/>
        </w:rPr>
        <w:t xml:space="preserve"> la autorrealización</w:t>
      </w:r>
      <w:r>
        <w:rPr>
          <w:rFonts w:cs="Arial"/>
          <w:szCs w:val="26"/>
          <w:lang w:eastAsia="es-ES_tradnl"/>
        </w:rPr>
        <w:t>, la</w:t>
      </w:r>
      <w:r w:rsidRPr="009C59CF">
        <w:rPr>
          <w:rFonts w:cs="Arial"/>
          <w:szCs w:val="26"/>
          <w:lang w:eastAsia="es-ES_tradnl"/>
        </w:rPr>
        <w:t xml:space="preserve"> convivencia</w:t>
      </w:r>
      <w:r>
        <w:rPr>
          <w:rFonts w:cs="Arial"/>
          <w:szCs w:val="26"/>
          <w:lang w:eastAsia="es-ES_tradnl"/>
        </w:rPr>
        <w:t>; propiciando</w:t>
      </w:r>
      <w:r w:rsidRPr="009C59CF">
        <w:rPr>
          <w:rFonts w:cs="Arial"/>
          <w:szCs w:val="26"/>
          <w:lang w:eastAsia="es-ES_tradnl"/>
        </w:rPr>
        <w:t xml:space="preserve"> una educación par</w:t>
      </w:r>
      <w:r>
        <w:rPr>
          <w:rFonts w:cs="Arial"/>
          <w:szCs w:val="26"/>
          <w:lang w:eastAsia="es-ES_tradnl"/>
        </w:rPr>
        <w:t>a la democracia, que contribuya</w:t>
      </w:r>
      <w:r w:rsidRPr="009C59CF">
        <w:rPr>
          <w:rFonts w:cs="Arial"/>
          <w:szCs w:val="26"/>
          <w:lang w:eastAsia="es-ES_tradnl"/>
        </w:rPr>
        <w:t xml:space="preserve"> </w:t>
      </w:r>
      <w:r>
        <w:rPr>
          <w:rFonts w:cs="Arial"/>
          <w:szCs w:val="26"/>
          <w:lang w:eastAsia="es-ES_tradnl"/>
        </w:rPr>
        <w:t xml:space="preserve">al desarrollo humano y que necesariamente requiere de un cambio de mentalidad y una renovación de valores; orientándose a la formación de personas, de ciudadanos responsables, capaces de formarse juicios ante la realidad, respetuosos, conocedores de sus derechos y deberes sociales, desarrollando sus potencialidades y actuando de manera responsable y de acuerdo a sus propias convicciones. Es decir, ver al ser humano como sujeto y objeto de los distintos procesos educativos y revisar la formación de </w:t>
      </w:r>
      <w:r w:rsidRPr="009C59CF">
        <w:rPr>
          <w:rFonts w:cs="Arial"/>
          <w:szCs w:val="26"/>
          <w:lang w:eastAsia="es-ES_tradnl"/>
        </w:rPr>
        <w:t xml:space="preserve">nuestros docentes </w:t>
      </w:r>
      <w:r>
        <w:rPr>
          <w:rFonts w:cs="Arial"/>
          <w:szCs w:val="26"/>
          <w:lang w:eastAsia="es-ES_tradnl"/>
        </w:rPr>
        <w:t>tanto</w:t>
      </w:r>
      <w:r w:rsidRPr="009C59CF">
        <w:rPr>
          <w:rFonts w:cs="Arial"/>
          <w:szCs w:val="26"/>
          <w:lang w:eastAsia="es-ES_tradnl"/>
        </w:rPr>
        <w:t xml:space="preserve"> </w:t>
      </w:r>
      <w:r>
        <w:rPr>
          <w:rFonts w:cs="Arial"/>
          <w:szCs w:val="26"/>
          <w:lang w:eastAsia="es-ES_tradnl"/>
        </w:rPr>
        <w:t xml:space="preserve">en su preparación intelectual, como </w:t>
      </w:r>
      <w:r w:rsidRPr="009C59CF">
        <w:rPr>
          <w:rFonts w:cs="Arial"/>
          <w:szCs w:val="26"/>
          <w:lang w:eastAsia="es-ES_tradnl"/>
        </w:rPr>
        <w:t xml:space="preserve">en las competencias en el aula. </w:t>
      </w:r>
      <w:r>
        <w:rPr>
          <w:rFonts w:cs="Arial"/>
          <w:szCs w:val="26"/>
          <w:lang w:eastAsia="es-ES_tradnl"/>
        </w:rPr>
        <w:t>Incrementando</w:t>
      </w:r>
      <w:r w:rsidRPr="009C59CF">
        <w:rPr>
          <w:rFonts w:cs="Arial"/>
          <w:szCs w:val="26"/>
          <w:lang w:eastAsia="es-ES_tradnl"/>
        </w:rPr>
        <w:t xml:space="preserve"> la inversión en educación</w:t>
      </w:r>
      <w:r>
        <w:rPr>
          <w:rFonts w:cs="Arial"/>
          <w:szCs w:val="26"/>
          <w:lang w:eastAsia="es-ES_tradnl"/>
        </w:rPr>
        <w:t xml:space="preserve"> y apuntando a la formación de un docente que ame el aula, que respete a la persona humana, </w:t>
      </w:r>
      <w:r w:rsidRPr="009C59CF">
        <w:rPr>
          <w:rFonts w:cs="Arial"/>
          <w:szCs w:val="26"/>
          <w:lang w:eastAsia="es-ES_tradnl"/>
        </w:rPr>
        <w:t xml:space="preserve">generando modelos educativos que tengan </w:t>
      </w:r>
      <w:r>
        <w:rPr>
          <w:rFonts w:cs="Arial"/>
          <w:szCs w:val="26"/>
          <w:lang w:eastAsia="es-ES_tradnl"/>
        </w:rPr>
        <w:t>como características el</w:t>
      </w:r>
      <w:r w:rsidRPr="009C59CF">
        <w:rPr>
          <w:rFonts w:cs="Arial"/>
          <w:szCs w:val="26"/>
          <w:lang w:eastAsia="es-ES_tradnl"/>
        </w:rPr>
        <w:t xml:space="preserve"> respeto, compe</w:t>
      </w:r>
      <w:r>
        <w:rPr>
          <w:rFonts w:cs="Arial"/>
          <w:szCs w:val="26"/>
          <w:lang w:eastAsia="es-ES_tradnl"/>
        </w:rPr>
        <w:t>tencia y honestidad intelectual y que promuevan y estimulen</w:t>
      </w:r>
      <w:r w:rsidRPr="009C59CF">
        <w:rPr>
          <w:rFonts w:cs="Arial"/>
          <w:szCs w:val="26"/>
          <w:lang w:eastAsia="es-ES_tradnl"/>
        </w:rPr>
        <w:t xml:space="preserve"> el continuo ejercicio de la libertad, la responsabilidad, la participación, la crítica, el respeto al otro, el reconocimiento de la cultura </w:t>
      </w:r>
      <w:r>
        <w:rPr>
          <w:rFonts w:cs="Arial"/>
          <w:szCs w:val="26"/>
          <w:lang w:eastAsia="es-ES_tradnl"/>
        </w:rPr>
        <w:t>y el pluralismo, partiendo por los propios</w:t>
      </w:r>
      <w:r w:rsidRPr="009C59CF">
        <w:rPr>
          <w:rFonts w:cs="Arial"/>
          <w:szCs w:val="26"/>
          <w:lang w:eastAsia="es-ES_tradnl"/>
        </w:rPr>
        <w:t xml:space="preserve"> educadores </w:t>
      </w:r>
      <w:r>
        <w:rPr>
          <w:rFonts w:cs="Arial"/>
          <w:szCs w:val="26"/>
          <w:lang w:eastAsia="es-ES_tradnl"/>
        </w:rPr>
        <w:t xml:space="preserve">que </w:t>
      </w:r>
      <w:r w:rsidRPr="009C59CF">
        <w:rPr>
          <w:rFonts w:cs="Arial"/>
          <w:szCs w:val="26"/>
          <w:lang w:eastAsia="es-ES_tradnl"/>
        </w:rPr>
        <w:t>se esfuerzan por ser ciudadanos y convertir sus aulas en</w:t>
      </w:r>
      <w:r>
        <w:rPr>
          <w:rFonts w:cs="Arial"/>
          <w:szCs w:val="26"/>
          <w:lang w:eastAsia="es-ES_tradnl"/>
        </w:rPr>
        <w:t xml:space="preserve"> modelos de democracia integral, basadas en el marco de la justicia social, asegurando la vida y el bienestar de todos, conduciéndonos a la calidad humana, permitiendo que todos los seres humanos vivamos mejor.</w:t>
      </w:r>
      <w:r w:rsidRPr="009C59CF">
        <w:rPr>
          <w:rFonts w:cs="Arial"/>
          <w:szCs w:val="26"/>
          <w:lang w:eastAsia="es-ES_tradnl"/>
        </w:rPr>
        <w:t xml:space="preserve"> </w:t>
      </w:r>
    </w:p>
    <w:p w:rsidR="00AD578C" w:rsidRPr="00E57FF4" w:rsidRDefault="00AD578C" w:rsidP="00AD578C">
      <w:pPr>
        <w:widowControl w:val="0"/>
        <w:autoSpaceDE w:val="0"/>
        <w:autoSpaceDN w:val="0"/>
        <w:adjustRightInd w:val="0"/>
        <w:spacing w:after="260"/>
        <w:jc w:val="both"/>
        <w:rPr>
          <w:rFonts w:cs="Arial"/>
          <w:szCs w:val="26"/>
          <w:lang w:eastAsia="es-ES_tradnl"/>
        </w:rPr>
      </w:pPr>
      <w:r>
        <w:rPr>
          <w:rFonts w:cs="Arial"/>
          <w:szCs w:val="26"/>
          <w:lang w:eastAsia="es-ES_tradnl"/>
        </w:rPr>
        <w:t>(</w:t>
      </w:r>
      <w:r>
        <w:rPr>
          <w:rFonts w:cs="Arial"/>
          <w:sz w:val="20"/>
          <w:szCs w:val="26"/>
          <w:lang w:eastAsia="es-ES_tradnl"/>
        </w:rPr>
        <w:t>P</w:t>
      </w:r>
      <w:r w:rsidRPr="00AA4A25">
        <w:rPr>
          <w:rFonts w:cs="Arial"/>
          <w:sz w:val="20"/>
          <w:szCs w:val="26"/>
          <w:lang w:eastAsia="es-ES_tradnl"/>
        </w:rPr>
        <w:t xml:space="preserve">ara complementar la reflexión ver video: “El sistema educativo es anacrónico”, Redes: Eduard </w:t>
      </w:r>
      <w:proofErr w:type="spellStart"/>
      <w:r w:rsidRPr="00AA4A25">
        <w:rPr>
          <w:rFonts w:cs="Arial"/>
          <w:sz w:val="20"/>
          <w:szCs w:val="26"/>
          <w:lang w:eastAsia="es-ES_tradnl"/>
        </w:rPr>
        <w:t>Punzet</w:t>
      </w:r>
      <w:proofErr w:type="spellEnd"/>
      <w:r w:rsidRPr="00AA4A25">
        <w:rPr>
          <w:rFonts w:cs="Arial"/>
          <w:sz w:val="20"/>
          <w:szCs w:val="26"/>
          <w:lang w:eastAsia="es-ES_tradnl"/>
        </w:rPr>
        <w:t xml:space="preserve">. Página </w:t>
      </w:r>
      <w:proofErr w:type="spellStart"/>
      <w:r w:rsidRPr="00AA4A25">
        <w:rPr>
          <w:rFonts w:cs="Arial"/>
          <w:sz w:val="20"/>
          <w:szCs w:val="26"/>
          <w:lang w:eastAsia="es-ES_tradnl"/>
        </w:rPr>
        <w:t>web</w:t>
      </w:r>
      <w:proofErr w:type="spellEnd"/>
      <w:r w:rsidRPr="00AA4A25">
        <w:rPr>
          <w:rFonts w:cs="Arial"/>
          <w:sz w:val="20"/>
          <w:szCs w:val="26"/>
          <w:lang w:eastAsia="es-ES_tradnl"/>
        </w:rPr>
        <w:t xml:space="preserve">: “Educar es transformar”. Link: </w:t>
      </w:r>
      <w:hyperlink r:id="rId14" w:history="1">
        <w:r w:rsidRPr="00AA4A25">
          <w:rPr>
            <w:rStyle w:val="Hipervnculo"/>
            <w:rFonts w:cs="Arial"/>
            <w:sz w:val="20"/>
            <w:szCs w:val="26"/>
            <w:lang w:eastAsia="es-ES_tradnl"/>
          </w:rPr>
          <w:t>http://kazolas.wix.com/educaytransforma#!bibliografia-bloque-i/ct7f</w:t>
        </w:r>
      </w:hyperlink>
      <w:r>
        <w:rPr>
          <w:rFonts w:cs="Arial"/>
          <w:szCs w:val="26"/>
          <w:lang w:eastAsia="es-ES_tradnl"/>
        </w:rPr>
        <w:t xml:space="preserve"> )</w:t>
      </w:r>
    </w:p>
    <w:p w:rsidR="00AD578C" w:rsidRPr="00195F12" w:rsidRDefault="00AD578C" w:rsidP="00AD578C">
      <w:pPr>
        <w:widowControl w:val="0"/>
        <w:autoSpaceDE w:val="0"/>
        <w:autoSpaceDN w:val="0"/>
        <w:adjustRightInd w:val="0"/>
        <w:jc w:val="both"/>
        <w:rPr>
          <w:rFonts w:cs="Geneva"/>
          <w:b/>
          <w:i/>
          <w:color w:val="232323"/>
          <w:szCs w:val="26"/>
          <w:lang w:eastAsia="es-ES_tradnl"/>
        </w:rPr>
      </w:pPr>
      <w:r>
        <w:rPr>
          <w:rFonts w:cs="Geneva"/>
          <w:color w:val="232323"/>
          <w:szCs w:val="26"/>
          <w:lang w:eastAsia="es-ES_tradnl"/>
        </w:rPr>
        <w:t xml:space="preserve">   </w:t>
      </w:r>
      <w:r>
        <w:rPr>
          <w:rFonts w:cs="Geneva"/>
          <w:b/>
          <w:i/>
          <w:color w:val="232323"/>
          <w:szCs w:val="26"/>
          <w:lang w:eastAsia="es-ES_tradnl"/>
        </w:rPr>
        <w:t>1.4</w:t>
      </w:r>
      <w:r w:rsidRPr="00195F12">
        <w:rPr>
          <w:rFonts w:cs="Geneva"/>
          <w:b/>
          <w:i/>
          <w:color w:val="232323"/>
          <w:szCs w:val="26"/>
          <w:lang w:eastAsia="es-ES_tradnl"/>
        </w:rPr>
        <w:t xml:space="preserve">  El alumno como protagonista </w:t>
      </w: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pStyle w:val="NormalWeb"/>
        <w:spacing w:before="2" w:after="2"/>
        <w:ind w:firstLine="708"/>
        <w:jc w:val="both"/>
        <w:rPr>
          <w:rFonts w:ascii="Cambria" w:hAnsi="Cambria"/>
          <w:sz w:val="24"/>
          <w:szCs w:val="22"/>
        </w:rPr>
      </w:pPr>
      <w:r w:rsidRPr="0027063B">
        <w:rPr>
          <w:rFonts w:ascii="Cambria" w:hAnsi="Cambria"/>
          <w:sz w:val="24"/>
          <w:szCs w:val="22"/>
        </w:rPr>
        <w:t xml:space="preserve">“Ser, hacer, conocer, en el dominio de la vida, están originalmente indiferenciados, y aun cuando se diferencian </w:t>
      </w:r>
      <w:r>
        <w:rPr>
          <w:rFonts w:ascii="Cambria" w:hAnsi="Cambria"/>
          <w:sz w:val="24"/>
          <w:szCs w:val="22"/>
        </w:rPr>
        <w:t>seguirá</w:t>
      </w:r>
      <w:r w:rsidRPr="0027063B">
        <w:rPr>
          <w:rFonts w:ascii="Cambria" w:hAnsi="Cambria"/>
          <w:sz w:val="24"/>
          <w:szCs w:val="22"/>
        </w:rPr>
        <w:t xml:space="preserve">n siendo inseparables.” </w:t>
      </w:r>
    </w:p>
    <w:p w:rsidR="00AD578C" w:rsidRPr="0027063B" w:rsidRDefault="00AD578C" w:rsidP="00AD578C">
      <w:pPr>
        <w:pStyle w:val="NormalWeb"/>
        <w:spacing w:before="2" w:after="2"/>
        <w:ind w:left="7080"/>
        <w:jc w:val="both"/>
        <w:rPr>
          <w:rFonts w:ascii="Cambria" w:hAnsi="Cambria"/>
          <w:sz w:val="24"/>
        </w:rPr>
      </w:pPr>
      <w:r w:rsidRPr="0027063B">
        <w:rPr>
          <w:rFonts w:ascii="Cambria" w:hAnsi="Cambria"/>
          <w:b/>
          <w:i/>
          <w:iCs/>
          <w:sz w:val="24"/>
          <w:szCs w:val="22"/>
        </w:rPr>
        <w:t xml:space="preserve">Edgard </w:t>
      </w:r>
      <w:r w:rsidRPr="0027063B">
        <w:rPr>
          <w:rFonts w:ascii="Cambria" w:hAnsi="Cambria"/>
          <w:b/>
          <w:bCs/>
          <w:i/>
          <w:sz w:val="24"/>
          <w:szCs w:val="22"/>
        </w:rPr>
        <w:t>Morin</w:t>
      </w:r>
      <w:r w:rsidRPr="0027063B">
        <w:rPr>
          <w:rFonts w:ascii="Cambria" w:hAnsi="Cambria"/>
          <w:b/>
          <w:bCs/>
          <w:sz w:val="24"/>
          <w:szCs w:val="22"/>
        </w:rPr>
        <w:t xml:space="preserve"> </w:t>
      </w:r>
    </w:p>
    <w:p w:rsidR="00AD578C" w:rsidRDefault="00AD578C" w:rsidP="00AD578C">
      <w:pPr>
        <w:pStyle w:val="NormalWeb"/>
        <w:spacing w:before="2" w:after="2"/>
        <w:ind w:firstLine="708"/>
        <w:jc w:val="both"/>
        <w:rPr>
          <w:rFonts w:ascii="Cambria" w:hAnsi="Cambria"/>
          <w:b/>
          <w:sz w:val="24"/>
        </w:rPr>
      </w:pPr>
    </w:p>
    <w:p w:rsidR="00AD578C" w:rsidRDefault="00AD578C" w:rsidP="00AD578C">
      <w:pPr>
        <w:widowControl w:val="0"/>
        <w:autoSpaceDE w:val="0"/>
        <w:autoSpaceDN w:val="0"/>
        <w:adjustRightInd w:val="0"/>
        <w:jc w:val="both"/>
        <w:rPr>
          <w:rFonts w:cs="Geneva"/>
          <w:color w:val="232323"/>
          <w:szCs w:val="26"/>
          <w:highlight w:val="yellow"/>
          <w:lang w:eastAsia="es-ES_tradnl"/>
        </w:rPr>
      </w:pPr>
    </w:p>
    <w:p w:rsidR="00AD578C" w:rsidRDefault="00AD578C" w:rsidP="00AD578C">
      <w:pPr>
        <w:pStyle w:val="NormalWeb"/>
        <w:spacing w:before="2" w:after="2"/>
        <w:ind w:firstLine="708"/>
        <w:jc w:val="both"/>
        <w:rPr>
          <w:rFonts w:ascii="Cambria" w:hAnsi="Cambria"/>
          <w:sz w:val="24"/>
          <w:szCs w:val="24"/>
        </w:rPr>
      </w:pPr>
      <w:r>
        <w:rPr>
          <w:rFonts w:ascii="Cambria" w:hAnsi="Cambria"/>
          <w:sz w:val="24"/>
          <w:szCs w:val="24"/>
        </w:rPr>
        <w:t>Al hablar del alumno como protagonista del proceso educativo, es necesario considerar que tanto e</w:t>
      </w:r>
      <w:r w:rsidRPr="00710E44">
        <w:rPr>
          <w:rFonts w:ascii="Cambria" w:hAnsi="Cambria"/>
          <w:sz w:val="24"/>
          <w:szCs w:val="24"/>
        </w:rPr>
        <w:t xml:space="preserve">l aprendizaje como la </w:t>
      </w:r>
      <w:r>
        <w:rPr>
          <w:rFonts w:ascii="Cambria" w:hAnsi="Cambria"/>
          <w:sz w:val="24"/>
          <w:szCs w:val="24"/>
        </w:rPr>
        <w:t>enseñanza</w:t>
      </w:r>
      <w:r w:rsidRPr="00710E44">
        <w:rPr>
          <w:rFonts w:ascii="Cambria" w:hAnsi="Cambria"/>
          <w:sz w:val="24"/>
          <w:szCs w:val="24"/>
        </w:rPr>
        <w:t xml:space="preserve"> son dos componentes importantes de la </w:t>
      </w:r>
      <w:r>
        <w:rPr>
          <w:rFonts w:ascii="Cambria" w:hAnsi="Cambria"/>
          <w:sz w:val="24"/>
          <w:szCs w:val="24"/>
        </w:rPr>
        <w:t>educación formal. Sin embargo, al analizar estos dos componentes,  t</w:t>
      </w:r>
      <w:r w:rsidRPr="00710E44">
        <w:rPr>
          <w:rFonts w:ascii="Cambria" w:hAnsi="Cambria"/>
          <w:sz w:val="24"/>
          <w:szCs w:val="24"/>
        </w:rPr>
        <w:t>radicionalmente</w:t>
      </w:r>
      <w:r>
        <w:rPr>
          <w:rFonts w:ascii="Cambria" w:hAnsi="Cambria"/>
          <w:sz w:val="24"/>
          <w:szCs w:val="24"/>
        </w:rPr>
        <w:t xml:space="preserve">, el papel fuerte en la educación </w:t>
      </w:r>
      <w:r w:rsidRPr="00710E44">
        <w:rPr>
          <w:rFonts w:ascii="Cambria" w:hAnsi="Cambria"/>
          <w:sz w:val="24"/>
          <w:szCs w:val="24"/>
        </w:rPr>
        <w:t xml:space="preserve">lo ha </w:t>
      </w:r>
      <w:r>
        <w:rPr>
          <w:rFonts w:ascii="Cambria" w:hAnsi="Cambria"/>
          <w:sz w:val="24"/>
          <w:szCs w:val="24"/>
        </w:rPr>
        <w:t>llevado la enseñanza , con</w:t>
      </w:r>
      <w:r w:rsidRPr="00710E44">
        <w:rPr>
          <w:rFonts w:ascii="Cambria" w:hAnsi="Cambria"/>
          <w:sz w:val="24"/>
          <w:szCs w:val="24"/>
        </w:rPr>
        <w:t xml:space="preserve"> el profesor </w:t>
      </w:r>
      <w:r>
        <w:rPr>
          <w:rFonts w:ascii="Cambria" w:hAnsi="Cambria"/>
          <w:sz w:val="24"/>
          <w:szCs w:val="24"/>
        </w:rPr>
        <w:t xml:space="preserve">como personaje principal, como constructor </w:t>
      </w:r>
      <w:r w:rsidRPr="00710E44">
        <w:rPr>
          <w:rFonts w:ascii="Cambria" w:hAnsi="Cambria"/>
          <w:sz w:val="24"/>
          <w:szCs w:val="24"/>
        </w:rPr>
        <w:t>y desarrolla</w:t>
      </w:r>
      <w:r>
        <w:rPr>
          <w:rFonts w:ascii="Cambria" w:hAnsi="Cambria"/>
          <w:sz w:val="24"/>
          <w:szCs w:val="24"/>
        </w:rPr>
        <w:t>dor de</w:t>
      </w:r>
      <w:r w:rsidRPr="00710E44">
        <w:rPr>
          <w:rFonts w:ascii="Cambria" w:hAnsi="Cambria"/>
          <w:sz w:val="24"/>
          <w:szCs w:val="24"/>
        </w:rPr>
        <w:t xml:space="preserve"> la </w:t>
      </w:r>
      <w:r>
        <w:rPr>
          <w:rFonts w:ascii="Cambria" w:hAnsi="Cambria"/>
          <w:sz w:val="24"/>
          <w:szCs w:val="24"/>
        </w:rPr>
        <w:t>instrucción</w:t>
      </w:r>
      <w:r w:rsidRPr="00710E44">
        <w:rPr>
          <w:rFonts w:ascii="Cambria" w:hAnsi="Cambria"/>
          <w:sz w:val="24"/>
          <w:szCs w:val="24"/>
        </w:rPr>
        <w:t xml:space="preserve"> del conocimiento</w:t>
      </w:r>
      <w:r>
        <w:rPr>
          <w:rFonts w:ascii="Cambria" w:hAnsi="Cambria"/>
          <w:sz w:val="24"/>
          <w:szCs w:val="24"/>
        </w:rPr>
        <w:t>,</w:t>
      </w:r>
      <w:r w:rsidRPr="00710E44">
        <w:rPr>
          <w:rFonts w:ascii="Cambria" w:hAnsi="Cambria"/>
          <w:sz w:val="24"/>
          <w:szCs w:val="24"/>
        </w:rPr>
        <w:t xml:space="preserve"> </w:t>
      </w:r>
      <w:r>
        <w:rPr>
          <w:rFonts w:ascii="Cambria" w:hAnsi="Cambria"/>
          <w:sz w:val="24"/>
          <w:szCs w:val="24"/>
        </w:rPr>
        <w:t>potenciando</w:t>
      </w:r>
      <w:r w:rsidRPr="00710E44">
        <w:rPr>
          <w:rFonts w:ascii="Cambria" w:hAnsi="Cambria"/>
          <w:sz w:val="24"/>
          <w:szCs w:val="24"/>
        </w:rPr>
        <w:t xml:space="preserve"> su transferencia.</w:t>
      </w:r>
      <w:r>
        <w:rPr>
          <w:rFonts w:ascii="Cambria" w:hAnsi="Cambria"/>
          <w:sz w:val="24"/>
          <w:szCs w:val="24"/>
        </w:rPr>
        <w:t xml:space="preserve"> Aproximándonos de esta manera </w:t>
      </w:r>
      <w:r w:rsidRPr="00710E44">
        <w:rPr>
          <w:rFonts w:ascii="Cambria" w:hAnsi="Cambria"/>
          <w:sz w:val="24"/>
          <w:szCs w:val="24"/>
        </w:rPr>
        <w:t xml:space="preserve"> a la </w:t>
      </w:r>
      <w:r>
        <w:rPr>
          <w:rFonts w:ascii="Cambria" w:hAnsi="Cambria"/>
          <w:sz w:val="24"/>
          <w:szCs w:val="24"/>
        </w:rPr>
        <w:t>enseñanza, pero</w:t>
      </w:r>
      <w:r w:rsidRPr="00710E44">
        <w:rPr>
          <w:rFonts w:ascii="Cambria" w:hAnsi="Cambria"/>
          <w:sz w:val="24"/>
          <w:szCs w:val="24"/>
        </w:rPr>
        <w:t xml:space="preserve"> no al aprendizaje, </w:t>
      </w:r>
      <w:r>
        <w:rPr>
          <w:rFonts w:ascii="Cambria" w:hAnsi="Cambria"/>
          <w:sz w:val="24"/>
          <w:szCs w:val="24"/>
        </w:rPr>
        <w:t xml:space="preserve">dando una visión del conocimiento como algo </w:t>
      </w:r>
      <w:r w:rsidRPr="00710E44">
        <w:rPr>
          <w:rFonts w:ascii="Cambria" w:hAnsi="Cambria"/>
          <w:sz w:val="24"/>
          <w:szCs w:val="24"/>
        </w:rPr>
        <w:t xml:space="preserve">separado de la mente humana y </w:t>
      </w:r>
      <w:r>
        <w:rPr>
          <w:rFonts w:ascii="Cambria" w:hAnsi="Cambria"/>
          <w:sz w:val="24"/>
          <w:szCs w:val="24"/>
        </w:rPr>
        <w:t>que puede transferirse</w:t>
      </w:r>
      <w:r w:rsidRPr="00710E44">
        <w:rPr>
          <w:rFonts w:ascii="Cambria" w:hAnsi="Cambria"/>
          <w:sz w:val="24"/>
          <w:szCs w:val="24"/>
        </w:rPr>
        <w:t xml:space="preserve"> al estudiante mediante un ambiente educativo centrado en el profesor; </w:t>
      </w:r>
      <w:r>
        <w:rPr>
          <w:rFonts w:ascii="Cambria" w:hAnsi="Cambria"/>
          <w:sz w:val="24"/>
          <w:szCs w:val="24"/>
        </w:rPr>
        <w:t>reconocido como experto en el área</w:t>
      </w:r>
      <w:r w:rsidRPr="00710E44">
        <w:rPr>
          <w:rFonts w:ascii="Cambria" w:hAnsi="Cambria"/>
          <w:sz w:val="24"/>
          <w:szCs w:val="24"/>
        </w:rPr>
        <w:t xml:space="preserve"> de</w:t>
      </w:r>
      <w:r>
        <w:rPr>
          <w:rFonts w:ascii="Cambria" w:hAnsi="Cambria"/>
          <w:sz w:val="24"/>
          <w:szCs w:val="24"/>
        </w:rPr>
        <w:t>l</w:t>
      </w:r>
      <w:r w:rsidRPr="00710E44">
        <w:rPr>
          <w:rFonts w:ascii="Cambria" w:hAnsi="Cambria"/>
          <w:sz w:val="24"/>
          <w:szCs w:val="24"/>
        </w:rPr>
        <w:t xml:space="preserve"> conocimiento, portador de un contenido</w:t>
      </w:r>
      <w:r>
        <w:rPr>
          <w:rFonts w:ascii="Cambria" w:hAnsi="Cambria"/>
          <w:sz w:val="24"/>
          <w:szCs w:val="24"/>
        </w:rPr>
        <w:t xml:space="preserve"> cognitivo. Asumiendo al </w:t>
      </w:r>
      <w:r w:rsidRPr="00710E44">
        <w:rPr>
          <w:rFonts w:ascii="Cambria" w:hAnsi="Cambria"/>
          <w:sz w:val="24"/>
          <w:szCs w:val="24"/>
        </w:rPr>
        <w:t xml:space="preserve">estudiante </w:t>
      </w:r>
      <w:r>
        <w:rPr>
          <w:rFonts w:ascii="Cambria" w:hAnsi="Cambria"/>
          <w:sz w:val="24"/>
          <w:szCs w:val="24"/>
        </w:rPr>
        <w:t>como un</w:t>
      </w:r>
      <w:r w:rsidRPr="00710E44">
        <w:rPr>
          <w:rFonts w:ascii="Cambria" w:hAnsi="Cambria"/>
          <w:sz w:val="24"/>
          <w:szCs w:val="24"/>
        </w:rPr>
        <w:t xml:space="preserve"> receptor, generalmente pasivo, </w:t>
      </w:r>
      <w:r>
        <w:rPr>
          <w:rFonts w:ascii="Cambria" w:hAnsi="Cambria"/>
          <w:sz w:val="24"/>
          <w:szCs w:val="24"/>
        </w:rPr>
        <w:t>atento a lo que</w:t>
      </w:r>
      <w:r w:rsidRPr="00710E44">
        <w:rPr>
          <w:rFonts w:ascii="Cambria" w:hAnsi="Cambria"/>
          <w:sz w:val="24"/>
          <w:szCs w:val="24"/>
        </w:rPr>
        <w:t xml:space="preserve"> el profesor quiere o desea transmitir </w:t>
      </w:r>
      <w:r>
        <w:rPr>
          <w:rFonts w:ascii="Cambria" w:hAnsi="Cambria"/>
          <w:sz w:val="24"/>
          <w:szCs w:val="24"/>
        </w:rPr>
        <w:t>basado en algún</w:t>
      </w:r>
      <w:r w:rsidRPr="00710E44">
        <w:rPr>
          <w:rFonts w:ascii="Cambria" w:hAnsi="Cambria"/>
          <w:sz w:val="24"/>
          <w:szCs w:val="24"/>
        </w:rPr>
        <w:t xml:space="preserve"> programa curricular. </w:t>
      </w:r>
    </w:p>
    <w:p w:rsidR="00AD578C" w:rsidRDefault="00AD578C" w:rsidP="00AD578C">
      <w:pPr>
        <w:pStyle w:val="NormalWeb"/>
        <w:spacing w:before="2" w:after="2"/>
        <w:jc w:val="both"/>
        <w:rPr>
          <w:rFonts w:ascii="Cambria" w:hAnsi="Cambria"/>
          <w:sz w:val="24"/>
          <w:szCs w:val="24"/>
        </w:rPr>
      </w:pPr>
    </w:p>
    <w:p w:rsidR="00AD578C" w:rsidRDefault="00AD578C" w:rsidP="00AD578C">
      <w:pPr>
        <w:pStyle w:val="NormalWeb"/>
        <w:spacing w:before="2" w:after="2"/>
        <w:jc w:val="both"/>
        <w:rPr>
          <w:rFonts w:ascii="Cambria" w:hAnsi="Cambria"/>
          <w:sz w:val="24"/>
          <w:szCs w:val="24"/>
        </w:rPr>
      </w:pPr>
      <w:r>
        <w:rPr>
          <w:rFonts w:ascii="Cambria" w:hAnsi="Cambria"/>
          <w:sz w:val="24"/>
          <w:szCs w:val="24"/>
        </w:rPr>
        <w:t>(</w:t>
      </w:r>
      <w:r>
        <w:rPr>
          <w:rFonts w:ascii="Cambria" w:hAnsi="Cambria"/>
          <w:szCs w:val="24"/>
        </w:rPr>
        <w:t>P</w:t>
      </w:r>
      <w:r w:rsidRPr="00AA4A25">
        <w:rPr>
          <w:rFonts w:ascii="Cambria" w:hAnsi="Cambria"/>
          <w:szCs w:val="24"/>
        </w:rPr>
        <w:t xml:space="preserve">ara complementar la reflexión ver video: </w:t>
      </w:r>
      <w:r w:rsidRPr="00F25014">
        <w:rPr>
          <w:rFonts w:ascii="Cambria" w:hAnsi="Cambria"/>
          <w:b/>
          <w:i/>
          <w:szCs w:val="24"/>
        </w:rPr>
        <w:t>“La enseñanza: perspectiva del profesor”.</w:t>
      </w:r>
      <w:r w:rsidRPr="00AA4A25">
        <w:rPr>
          <w:rFonts w:ascii="Cambria" w:hAnsi="Cambria"/>
          <w:szCs w:val="24"/>
        </w:rPr>
        <w:t xml:space="preserve"> Página </w:t>
      </w:r>
      <w:proofErr w:type="spellStart"/>
      <w:r w:rsidRPr="00AA4A25">
        <w:rPr>
          <w:rFonts w:ascii="Cambria" w:hAnsi="Cambria"/>
          <w:szCs w:val="24"/>
        </w:rPr>
        <w:t>web</w:t>
      </w:r>
      <w:proofErr w:type="spellEnd"/>
      <w:r w:rsidRPr="00AA4A25">
        <w:rPr>
          <w:rFonts w:ascii="Cambria" w:hAnsi="Cambria"/>
          <w:szCs w:val="24"/>
        </w:rPr>
        <w:t xml:space="preserve">: “Educar para transformar”. Link: </w:t>
      </w:r>
      <w:hyperlink r:id="rId15" w:history="1">
        <w:r w:rsidRPr="00AA4A25">
          <w:rPr>
            <w:rStyle w:val="Hipervnculo"/>
            <w:rFonts w:ascii="Cambria" w:hAnsi="Cambria"/>
          </w:rPr>
          <w:t>http://kazolas.wix.com/educaytransforma#!bibliografia-bloque-i/ct7f</w:t>
        </w:r>
      </w:hyperlink>
      <w:r>
        <w:rPr>
          <w:rFonts w:ascii="Cambria" w:hAnsi="Cambria"/>
          <w:sz w:val="24"/>
          <w:szCs w:val="24"/>
        </w:rPr>
        <w:t xml:space="preserve">) </w:t>
      </w:r>
    </w:p>
    <w:p w:rsidR="00AD578C" w:rsidRDefault="00AD578C" w:rsidP="00AD578C">
      <w:pPr>
        <w:pStyle w:val="NormalWeb"/>
        <w:spacing w:before="2" w:after="2"/>
        <w:ind w:firstLine="708"/>
        <w:jc w:val="both"/>
        <w:rPr>
          <w:rFonts w:ascii="Cambria" w:hAnsi="Cambria"/>
          <w:sz w:val="24"/>
          <w:szCs w:val="24"/>
        </w:rPr>
      </w:pPr>
    </w:p>
    <w:p w:rsidR="00AD578C" w:rsidRDefault="00AD578C" w:rsidP="00AD578C">
      <w:pPr>
        <w:pStyle w:val="NormalWeb"/>
        <w:spacing w:before="2" w:after="2"/>
        <w:ind w:firstLine="708"/>
        <w:jc w:val="both"/>
        <w:rPr>
          <w:rFonts w:ascii="Cambria" w:hAnsi="Cambria"/>
          <w:sz w:val="24"/>
          <w:szCs w:val="24"/>
        </w:rPr>
      </w:pPr>
      <w:r>
        <w:rPr>
          <w:rFonts w:ascii="Cambria" w:hAnsi="Cambria"/>
          <w:noProof/>
          <w:sz w:val="24"/>
          <w:szCs w:val="24"/>
        </w:rPr>
        <w:drawing>
          <wp:inline distT="0" distB="0" distL="0" distR="0">
            <wp:extent cx="5063490" cy="1604645"/>
            <wp:effectExtent l="25400" t="0" r="0" b="0"/>
            <wp:docPr id="18" name="Imagen 18" descr="Mafalda en cl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falda en clases"/>
                    <pic:cNvPicPr>
                      <a:picLocks noChangeAspect="1" noChangeArrowheads="1"/>
                    </pic:cNvPicPr>
                  </pic:nvPicPr>
                  <pic:blipFill>
                    <a:blip r:embed="rId16"/>
                    <a:srcRect/>
                    <a:stretch>
                      <a:fillRect/>
                    </a:stretch>
                  </pic:blipFill>
                  <pic:spPr bwMode="auto">
                    <a:xfrm>
                      <a:off x="0" y="0"/>
                      <a:ext cx="5063490" cy="1604645"/>
                    </a:xfrm>
                    <a:prstGeom prst="rect">
                      <a:avLst/>
                    </a:prstGeom>
                    <a:noFill/>
                    <a:ln w="9525">
                      <a:noFill/>
                      <a:miter lim="800000"/>
                      <a:headEnd/>
                      <a:tailEnd/>
                    </a:ln>
                  </pic:spPr>
                </pic:pic>
              </a:graphicData>
            </a:graphic>
          </wp:inline>
        </w:drawing>
      </w:r>
    </w:p>
    <w:p w:rsidR="00AD578C" w:rsidRDefault="00AD578C" w:rsidP="00AD578C">
      <w:pPr>
        <w:pStyle w:val="NormalWeb"/>
        <w:spacing w:before="2" w:after="2"/>
        <w:ind w:firstLine="708"/>
        <w:jc w:val="both"/>
        <w:rPr>
          <w:rFonts w:ascii="Cambria" w:hAnsi="Cambria"/>
          <w:sz w:val="24"/>
          <w:szCs w:val="24"/>
        </w:rPr>
      </w:pPr>
    </w:p>
    <w:p w:rsidR="00AD578C" w:rsidRDefault="00AD578C" w:rsidP="00AD578C">
      <w:pPr>
        <w:pStyle w:val="NormalWeb"/>
        <w:spacing w:before="2" w:after="2"/>
        <w:ind w:firstLine="708"/>
        <w:jc w:val="both"/>
        <w:rPr>
          <w:rFonts w:ascii="Cambria" w:hAnsi="Cambria"/>
          <w:sz w:val="24"/>
          <w:szCs w:val="24"/>
        </w:rPr>
      </w:pPr>
    </w:p>
    <w:p w:rsidR="00AD578C" w:rsidRDefault="00AD578C" w:rsidP="00AD578C">
      <w:pPr>
        <w:pStyle w:val="NormalWeb"/>
        <w:spacing w:before="2" w:after="2"/>
        <w:ind w:firstLine="708"/>
        <w:jc w:val="both"/>
        <w:rPr>
          <w:rFonts w:ascii="Cambria" w:hAnsi="Cambria"/>
          <w:sz w:val="24"/>
          <w:szCs w:val="24"/>
        </w:rPr>
      </w:pPr>
      <w:r>
        <w:rPr>
          <w:rFonts w:ascii="Cambria" w:hAnsi="Cambria"/>
          <w:sz w:val="24"/>
          <w:szCs w:val="24"/>
        </w:rPr>
        <w:t xml:space="preserve">Sin embargo el otro lado del análisis que apunta al </w:t>
      </w:r>
      <w:r w:rsidRPr="00210965">
        <w:rPr>
          <w:rFonts w:ascii="Cambria" w:hAnsi="Cambria"/>
          <w:sz w:val="24"/>
          <w:szCs w:val="24"/>
        </w:rPr>
        <w:t>aprendizaje</w:t>
      </w:r>
      <w:r>
        <w:rPr>
          <w:rFonts w:ascii="Cambria" w:hAnsi="Cambria"/>
          <w:sz w:val="24"/>
          <w:szCs w:val="24"/>
        </w:rPr>
        <w:t>,</w:t>
      </w:r>
      <w:r w:rsidRPr="00210965">
        <w:rPr>
          <w:rFonts w:ascii="Cambria" w:hAnsi="Cambria"/>
          <w:sz w:val="24"/>
          <w:szCs w:val="24"/>
        </w:rPr>
        <w:t xml:space="preserve"> tiene al estudian</w:t>
      </w:r>
      <w:r>
        <w:rPr>
          <w:rFonts w:ascii="Cambria" w:hAnsi="Cambria"/>
          <w:sz w:val="24"/>
          <w:szCs w:val="24"/>
        </w:rPr>
        <w:t xml:space="preserve">te como principal protagonista, quien </w:t>
      </w:r>
      <w:r w:rsidRPr="00210965">
        <w:rPr>
          <w:rFonts w:ascii="Cambria" w:hAnsi="Cambria"/>
          <w:sz w:val="24"/>
          <w:szCs w:val="24"/>
        </w:rPr>
        <w:t xml:space="preserve">es un actor </w:t>
      </w:r>
      <w:proofErr w:type="spellStart"/>
      <w:r w:rsidRPr="00210965">
        <w:rPr>
          <w:rFonts w:ascii="Cambria" w:hAnsi="Cambria"/>
          <w:sz w:val="24"/>
          <w:szCs w:val="24"/>
        </w:rPr>
        <w:t>orgánico</w:t>
      </w:r>
      <w:proofErr w:type="spellEnd"/>
      <w:r>
        <w:rPr>
          <w:rFonts w:ascii="Cambria" w:hAnsi="Cambria"/>
          <w:sz w:val="24"/>
          <w:szCs w:val="24"/>
        </w:rPr>
        <w:t xml:space="preserve">, concepto que implica que </w:t>
      </w:r>
      <w:r w:rsidRPr="00210965">
        <w:rPr>
          <w:rFonts w:ascii="Cambria" w:hAnsi="Cambria"/>
          <w:sz w:val="24"/>
          <w:szCs w:val="24"/>
        </w:rPr>
        <w:t xml:space="preserve"> el conocimiento no es transferido sino provocado en el estudiante </w:t>
      </w:r>
      <w:r>
        <w:rPr>
          <w:rFonts w:ascii="Cambria" w:hAnsi="Cambria"/>
          <w:sz w:val="24"/>
          <w:szCs w:val="24"/>
        </w:rPr>
        <w:t>con el propósito de potenciar cambios individuales en su</w:t>
      </w:r>
      <w:r w:rsidRPr="00210965">
        <w:rPr>
          <w:rFonts w:ascii="Cambria" w:hAnsi="Cambria"/>
          <w:sz w:val="24"/>
          <w:szCs w:val="24"/>
        </w:rPr>
        <w:t xml:space="preserve"> experiencia</w:t>
      </w:r>
      <w:r>
        <w:rPr>
          <w:rFonts w:ascii="Cambria" w:hAnsi="Cambria"/>
          <w:sz w:val="24"/>
          <w:szCs w:val="24"/>
        </w:rPr>
        <w:t>, los</w:t>
      </w:r>
      <w:r w:rsidRPr="00210965">
        <w:rPr>
          <w:rFonts w:ascii="Cambria" w:hAnsi="Cambria"/>
          <w:sz w:val="24"/>
          <w:szCs w:val="24"/>
        </w:rPr>
        <w:t xml:space="preserve"> que van desde los aprendizajes cognitivos hasta los </w:t>
      </w:r>
      <w:r>
        <w:rPr>
          <w:rFonts w:ascii="Cambria" w:hAnsi="Cambria"/>
          <w:sz w:val="24"/>
          <w:szCs w:val="24"/>
        </w:rPr>
        <w:t xml:space="preserve">aprendizajes </w:t>
      </w:r>
      <w:r w:rsidRPr="00210965">
        <w:rPr>
          <w:rFonts w:ascii="Cambria" w:hAnsi="Cambria"/>
          <w:sz w:val="24"/>
          <w:szCs w:val="24"/>
        </w:rPr>
        <w:t xml:space="preserve">emocionales y psicomotores. </w:t>
      </w:r>
      <w:r>
        <w:rPr>
          <w:rFonts w:ascii="Cambria" w:hAnsi="Cambria"/>
          <w:sz w:val="24"/>
          <w:szCs w:val="24"/>
        </w:rPr>
        <w:t xml:space="preserve"> Y como consecuencia de ello, es posible observar que </w:t>
      </w:r>
      <w:r w:rsidRPr="00210965">
        <w:rPr>
          <w:rFonts w:ascii="Cambria" w:hAnsi="Cambria"/>
          <w:sz w:val="24"/>
          <w:szCs w:val="24"/>
        </w:rPr>
        <w:t xml:space="preserve"> en ambientes donde el aprend</w:t>
      </w:r>
      <w:r>
        <w:rPr>
          <w:rFonts w:ascii="Cambria" w:hAnsi="Cambria"/>
          <w:sz w:val="24"/>
          <w:szCs w:val="24"/>
        </w:rPr>
        <w:t>izaje es esencial, la educación se vuelve má</w:t>
      </w:r>
      <w:r w:rsidRPr="00210965">
        <w:rPr>
          <w:rFonts w:ascii="Cambria" w:hAnsi="Cambria"/>
          <w:sz w:val="24"/>
          <w:szCs w:val="24"/>
        </w:rPr>
        <w:t xml:space="preserve">s centrada en el estudiante y </w:t>
      </w:r>
      <w:r>
        <w:rPr>
          <w:rFonts w:ascii="Cambria" w:hAnsi="Cambria"/>
          <w:sz w:val="24"/>
          <w:szCs w:val="24"/>
        </w:rPr>
        <w:t xml:space="preserve">por ende </w:t>
      </w:r>
      <w:r w:rsidRPr="00210965">
        <w:rPr>
          <w:rFonts w:ascii="Cambria" w:hAnsi="Cambria"/>
          <w:sz w:val="24"/>
          <w:szCs w:val="24"/>
        </w:rPr>
        <w:t xml:space="preserve">menos dependiente del profesor, quien </w:t>
      </w:r>
      <w:r>
        <w:rPr>
          <w:rFonts w:ascii="Cambria" w:hAnsi="Cambria"/>
          <w:sz w:val="24"/>
          <w:szCs w:val="24"/>
        </w:rPr>
        <w:t>pasa a</w:t>
      </w:r>
      <w:r w:rsidRPr="00210965">
        <w:rPr>
          <w:rFonts w:ascii="Cambria" w:hAnsi="Cambria"/>
          <w:sz w:val="24"/>
          <w:szCs w:val="24"/>
        </w:rPr>
        <w:t xml:space="preserve"> ser un facilitador de l</w:t>
      </w:r>
      <w:r>
        <w:rPr>
          <w:rFonts w:ascii="Cambria" w:hAnsi="Cambria"/>
          <w:sz w:val="24"/>
          <w:szCs w:val="24"/>
        </w:rPr>
        <w:t>as experiencias de aprendizaje y donde el estudiante pasa a ser un</w:t>
      </w:r>
      <w:r w:rsidRPr="00210965">
        <w:rPr>
          <w:rFonts w:ascii="Cambria" w:hAnsi="Cambria"/>
          <w:sz w:val="24"/>
          <w:szCs w:val="24"/>
        </w:rPr>
        <w:t xml:space="preserve"> gestor de sus </w:t>
      </w:r>
      <w:r>
        <w:rPr>
          <w:rFonts w:ascii="Cambria" w:hAnsi="Cambria"/>
          <w:sz w:val="24"/>
          <w:szCs w:val="24"/>
        </w:rPr>
        <w:t xml:space="preserve">propios aprendizajes, instalando un </w:t>
      </w:r>
      <w:r w:rsidRPr="00210965">
        <w:rPr>
          <w:rFonts w:ascii="Cambria" w:hAnsi="Cambria"/>
          <w:sz w:val="24"/>
          <w:szCs w:val="24"/>
        </w:rPr>
        <w:t>para</w:t>
      </w:r>
      <w:r>
        <w:rPr>
          <w:rFonts w:ascii="Cambria" w:hAnsi="Cambria"/>
          <w:sz w:val="24"/>
          <w:szCs w:val="24"/>
        </w:rPr>
        <w:t xml:space="preserve">digma diferente de la educación que avanza desde la actividad educativa percibida como instrucción hacia el concepto de experiencias de aprendizaje, y donde el profesor no solo se observa como un administrador de estas experiencias de aprendizaje en pos de determinados objetivos que se enmarcan en un contexto de colaboración, de autodirección, de mejora continua, de utilización de las tecnologías y de una formación integral. </w:t>
      </w:r>
    </w:p>
    <w:p w:rsidR="00AD578C" w:rsidRDefault="00AD578C" w:rsidP="00AD578C">
      <w:pPr>
        <w:pStyle w:val="NormalWeb"/>
        <w:spacing w:before="2" w:after="2"/>
        <w:jc w:val="both"/>
        <w:rPr>
          <w:rFonts w:ascii="Cambria" w:hAnsi="Cambria"/>
          <w:sz w:val="24"/>
          <w:szCs w:val="24"/>
        </w:rPr>
      </w:pPr>
    </w:p>
    <w:p w:rsidR="00AD578C" w:rsidRDefault="00AD578C" w:rsidP="00AD578C">
      <w:pPr>
        <w:pStyle w:val="NormalWeb"/>
        <w:spacing w:before="2" w:after="2"/>
        <w:jc w:val="both"/>
        <w:rPr>
          <w:rFonts w:ascii="Cambria" w:hAnsi="Cambria"/>
          <w:sz w:val="24"/>
          <w:szCs w:val="24"/>
        </w:rPr>
      </w:pPr>
      <w:r>
        <w:rPr>
          <w:rFonts w:ascii="Cambria" w:hAnsi="Cambria"/>
          <w:sz w:val="24"/>
          <w:szCs w:val="24"/>
        </w:rPr>
        <w:t>(</w:t>
      </w:r>
      <w:r>
        <w:rPr>
          <w:rFonts w:ascii="Cambria" w:hAnsi="Cambria"/>
          <w:szCs w:val="24"/>
        </w:rPr>
        <w:t>P</w:t>
      </w:r>
      <w:r w:rsidRPr="00AA4A25">
        <w:rPr>
          <w:rFonts w:ascii="Cambria" w:hAnsi="Cambria"/>
          <w:szCs w:val="24"/>
        </w:rPr>
        <w:t xml:space="preserve">ara complementar la reflexión ver video: </w:t>
      </w:r>
      <w:r w:rsidRPr="00F25014">
        <w:rPr>
          <w:rFonts w:ascii="Cambria" w:hAnsi="Cambria"/>
          <w:b/>
          <w:i/>
          <w:szCs w:val="24"/>
        </w:rPr>
        <w:t>“El aprendizaje: perspectiva del estudiante”.</w:t>
      </w:r>
      <w:r w:rsidRPr="00AA4A25">
        <w:rPr>
          <w:rFonts w:ascii="Cambria" w:hAnsi="Cambria"/>
          <w:szCs w:val="24"/>
        </w:rPr>
        <w:t xml:space="preserve"> Página </w:t>
      </w:r>
      <w:proofErr w:type="spellStart"/>
      <w:r w:rsidRPr="00AA4A25">
        <w:rPr>
          <w:rFonts w:ascii="Cambria" w:hAnsi="Cambria"/>
          <w:szCs w:val="24"/>
        </w:rPr>
        <w:t>web</w:t>
      </w:r>
      <w:proofErr w:type="spellEnd"/>
      <w:r w:rsidRPr="00AA4A25">
        <w:rPr>
          <w:rFonts w:ascii="Cambria" w:hAnsi="Cambria"/>
          <w:szCs w:val="24"/>
        </w:rPr>
        <w:t xml:space="preserve">: “Educar para transformar”. Link: </w:t>
      </w:r>
      <w:hyperlink r:id="rId17" w:history="1">
        <w:r w:rsidRPr="00AA4A25">
          <w:rPr>
            <w:rStyle w:val="Hipervnculo"/>
            <w:rFonts w:ascii="Cambria" w:hAnsi="Cambria"/>
          </w:rPr>
          <w:t>http://kazolas.wix.com/educaytransforma#!bibliografia-bloque-i/ct7f</w:t>
        </w:r>
      </w:hyperlink>
      <w:r>
        <w:rPr>
          <w:rFonts w:ascii="Cambria" w:hAnsi="Cambria"/>
          <w:sz w:val="24"/>
          <w:szCs w:val="24"/>
        </w:rPr>
        <w:t xml:space="preserve">) </w:t>
      </w:r>
    </w:p>
    <w:p w:rsidR="00AD578C" w:rsidRDefault="00AD578C" w:rsidP="00AD578C">
      <w:pPr>
        <w:pStyle w:val="NormalWeb"/>
        <w:spacing w:before="2" w:after="2"/>
        <w:jc w:val="both"/>
        <w:rPr>
          <w:rFonts w:ascii="Cambria" w:hAnsi="Cambria"/>
          <w:sz w:val="24"/>
          <w:szCs w:val="24"/>
        </w:rPr>
      </w:pPr>
    </w:p>
    <w:p w:rsidR="00AD578C" w:rsidRDefault="00AD578C" w:rsidP="00AD578C">
      <w:pPr>
        <w:pStyle w:val="NormalWeb"/>
        <w:spacing w:before="2" w:after="2"/>
        <w:ind w:firstLine="708"/>
        <w:jc w:val="both"/>
        <w:rPr>
          <w:rFonts w:ascii="Cambria" w:hAnsi="Cambria"/>
          <w:sz w:val="24"/>
          <w:szCs w:val="24"/>
        </w:rPr>
      </w:pPr>
      <w:r>
        <w:rPr>
          <w:rFonts w:ascii="Cambria" w:hAnsi="Cambria"/>
          <w:sz w:val="24"/>
          <w:szCs w:val="24"/>
        </w:rPr>
        <w:t>De allí surge la necesidad de un</w:t>
      </w:r>
      <w:r w:rsidRPr="00210965">
        <w:rPr>
          <w:rFonts w:ascii="Cambria" w:hAnsi="Cambria"/>
          <w:sz w:val="24"/>
          <w:szCs w:val="24"/>
        </w:rPr>
        <w:t xml:space="preserve"> modelo educativo diverso y complejo que exige ajustarse a procesos de aprendizaje donde el estudiante</w:t>
      </w:r>
      <w:r>
        <w:rPr>
          <w:rFonts w:ascii="Cambria" w:hAnsi="Cambria"/>
          <w:sz w:val="24"/>
          <w:szCs w:val="24"/>
        </w:rPr>
        <w:t xml:space="preserve"> debe ser </w:t>
      </w:r>
      <w:proofErr w:type="spellStart"/>
      <w:r>
        <w:rPr>
          <w:rFonts w:ascii="Cambria" w:hAnsi="Cambria"/>
          <w:sz w:val="24"/>
          <w:szCs w:val="24"/>
        </w:rPr>
        <w:t>má</w:t>
      </w:r>
      <w:r w:rsidRPr="00210965">
        <w:rPr>
          <w:rFonts w:ascii="Cambria" w:hAnsi="Cambria"/>
          <w:sz w:val="24"/>
          <w:szCs w:val="24"/>
        </w:rPr>
        <w:t>́s</w:t>
      </w:r>
      <w:proofErr w:type="spellEnd"/>
      <w:r w:rsidRPr="00210965">
        <w:rPr>
          <w:rFonts w:ascii="Cambria" w:hAnsi="Cambria"/>
          <w:sz w:val="24"/>
          <w:szCs w:val="24"/>
        </w:rPr>
        <w:t xml:space="preserve"> auto- directivo, independiente y con mayor iniciativa; </w:t>
      </w:r>
      <w:r>
        <w:rPr>
          <w:rFonts w:ascii="Cambria" w:hAnsi="Cambria"/>
          <w:sz w:val="24"/>
          <w:szCs w:val="24"/>
        </w:rPr>
        <w:t xml:space="preserve">un modelo </w:t>
      </w:r>
      <w:r w:rsidRPr="00210965">
        <w:rPr>
          <w:rFonts w:ascii="Cambria" w:hAnsi="Cambria"/>
          <w:sz w:val="24"/>
          <w:szCs w:val="24"/>
        </w:rPr>
        <w:t>d</w:t>
      </w:r>
      <w:r>
        <w:rPr>
          <w:rFonts w:ascii="Cambria" w:hAnsi="Cambria"/>
          <w:sz w:val="24"/>
          <w:szCs w:val="24"/>
        </w:rPr>
        <w:t xml:space="preserve">onde tanto el estudiante </w:t>
      </w:r>
      <w:r w:rsidRPr="00210965">
        <w:rPr>
          <w:rFonts w:ascii="Cambria" w:hAnsi="Cambria"/>
          <w:sz w:val="24"/>
          <w:szCs w:val="24"/>
        </w:rPr>
        <w:t xml:space="preserve">como el profesor exijan de </w:t>
      </w:r>
      <w:proofErr w:type="spellStart"/>
      <w:r w:rsidRPr="00210965">
        <w:rPr>
          <w:rFonts w:ascii="Cambria" w:hAnsi="Cambria"/>
          <w:sz w:val="24"/>
          <w:szCs w:val="24"/>
        </w:rPr>
        <w:t>sí</w:t>
      </w:r>
      <w:proofErr w:type="spellEnd"/>
      <w:r w:rsidRPr="00210965">
        <w:rPr>
          <w:rFonts w:ascii="Cambria" w:hAnsi="Cambria"/>
          <w:sz w:val="24"/>
          <w:szCs w:val="24"/>
        </w:rPr>
        <w:t xml:space="preserve"> mismos mayores recursos motivacionales personales para </w:t>
      </w:r>
      <w:r>
        <w:rPr>
          <w:rFonts w:ascii="Cambria" w:hAnsi="Cambria"/>
          <w:sz w:val="24"/>
          <w:szCs w:val="24"/>
        </w:rPr>
        <w:t>desempeñarse</w:t>
      </w:r>
      <w:r w:rsidRPr="00210965">
        <w:rPr>
          <w:rFonts w:ascii="Cambria" w:hAnsi="Cambria"/>
          <w:sz w:val="24"/>
          <w:szCs w:val="24"/>
        </w:rPr>
        <w:t xml:space="preserve"> en las actividades </w:t>
      </w:r>
      <w:proofErr w:type="spellStart"/>
      <w:r w:rsidRPr="00210965">
        <w:rPr>
          <w:rFonts w:ascii="Cambria" w:hAnsi="Cambria"/>
          <w:sz w:val="24"/>
          <w:szCs w:val="24"/>
        </w:rPr>
        <w:t>académicas</w:t>
      </w:r>
      <w:proofErr w:type="spellEnd"/>
      <w:r>
        <w:rPr>
          <w:rFonts w:ascii="Cambria" w:hAnsi="Cambria"/>
          <w:sz w:val="24"/>
          <w:szCs w:val="24"/>
        </w:rPr>
        <w:t xml:space="preserve"> propuestas</w:t>
      </w:r>
      <w:r w:rsidRPr="00210965">
        <w:rPr>
          <w:rFonts w:ascii="Cambria" w:hAnsi="Cambria"/>
          <w:sz w:val="24"/>
          <w:szCs w:val="24"/>
        </w:rPr>
        <w:t xml:space="preserve">. </w:t>
      </w:r>
      <w:r>
        <w:rPr>
          <w:rFonts w:ascii="Cambria" w:hAnsi="Cambria"/>
          <w:sz w:val="24"/>
          <w:szCs w:val="24"/>
        </w:rPr>
        <w:t xml:space="preserve">Instalándose así la idea de la </w:t>
      </w:r>
      <w:proofErr w:type="spellStart"/>
      <w:r w:rsidRPr="00210965">
        <w:rPr>
          <w:rFonts w:ascii="Cambria" w:hAnsi="Cambria"/>
          <w:sz w:val="24"/>
          <w:szCs w:val="24"/>
        </w:rPr>
        <w:t>autogestión</w:t>
      </w:r>
      <w:proofErr w:type="spellEnd"/>
      <w:r w:rsidRPr="00210965">
        <w:rPr>
          <w:rFonts w:ascii="Cambria" w:hAnsi="Cambria"/>
          <w:sz w:val="24"/>
          <w:szCs w:val="24"/>
        </w:rPr>
        <w:t xml:space="preserve"> del aprendizaje</w:t>
      </w:r>
      <w:r>
        <w:rPr>
          <w:rFonts w:ascii="Cambria" w:hAnsi="Cambria"/>
          <w:sz w:val="24"/>
          <w:szCs w:val="24"/>
        </w:rPr>
        <w:t>,</w:t>
      </w:r>
      <w:r w:rsidRPr="00210965">
        <w:rPr>
          <w:rFonts w:ascii="Cambria" w:hAnsi="Cambria"/>
          <w:sz w:val="24"/>
          <w:szCs w:val="24"/>
        </w:rPr>
        <w:t xml:space="preserve"> </w:t>
      </w:r>
      <w:r>
        <w:rPr>
          <w:rFonts w:ascii="Cambria" w:hAnsi="Cambria"/>
          <w:sz w:val="24"/>
          <w:szCs w:val="24"/>
        </w:rPr>
        <w:t>como un</w:t>
      </w:r>
      <w:r w:rsidRPr="00210965">
        <w:rPr>
          <w:rFonts w:ascii="Cambria" w:hAnsi="Cambria"/>
          <w:sz w:val="24"/>
          <w:szCs w:val="24"/>
        </w:rPr>
        <w:t xml:space="preserve"> proceso</w:t>
      </w:r>
      <w:r>
        <w:rPr>
          <w:rFonts w:ascii="Cambria" w:hAnsi="Cambria"/>
          <w:sz w:val="24"/>
          <w:szCs w:val="24"/>
        </w:rPr>
        <w:t>,</w:t>
      </w:r>
      <w:r w:rsidRPr="00210965">
        <w:rPr>
          <w:rFonts w:ascii="Cambria" w:hAnsi="Cambria"/>
          <w:sz w:val="24"/>
          <w:szCs w:val="24"/>
        </w:rPr>
        <w:t xml:space="preserve"> mediante el cual los estudiantes activan y sostienen cogniciones, conductas y afectos que </w:t>
      </w:r>
      <w:proofErr w:type="spellStart"/>
      <w:r w:rsidRPr="00210965">
        <w:rPr>
          <w:rFonts w:ascii="Cambria" w:hAnsi="Cambria"/>
          <w:sz w:val="24"/>
          <w:szCs w:val="24"/>
        </w:rPr>
        <w:t>están</w:t>
      </w:r>
      <w:proofErr w:type="spellEnd"/>
      <w:r w:rsidRPr="00210965">
        <w:rPr>
          <w:rFonts w:ascii="Cambria" w:hAnsi="Cambria"/>
          <w:sz w:val="24"/>
          <w:szCs w:val="24"/>
        </w:rPr>
        <w:t xml:space="preserve"> orientados </w:t>
      </w:r>
      <w:proofErr w:type="spellStart"/>
      <w:r w:rsidRPr="00210965">
        <w:rPr>
          <w:rFonts w:ascii="Cambria" w:hAnsi="Cambria"/>
          <w:sz w:val="24"/>
          <w:szCs w:val="24"/>
        </w:rPr>
        <w:t>sistemáticamente</w:t>
      </w:r>
      <w:proofErr w:type="spellEnd"/>
      <w:r w:rsidRPr="00210965">
        <w:rPr>
          <w:rFonts w:ascii="Cambria" w:hAnsi="Cambria"/>
          <w:sz w:val="24"/>
          <w:szCs w:val="24"/>
        </w:rPr>
        <w:t xml:space="preserve"> hacia el cumpli</w:t>
      </w:r>
      <w:r>
        <w:rPr>
          <w:rFonts w:ascii="Cambria" w:hAnsi="Cambria"/>
          <w:sz w:val="24"/>
          <w:szCs w:val="24"/>
        </w:rPr>
        <w:t xml:space="preserve">miento de objetivos </w:t>
      </w:r>
      <w:proofErr w:type="spellStart"/>
      <w:r>
        <w:rPr>
          <w:rFonts w:ascii="Cambria" w:hAnsi="Cambria"/>
          <w:sz w:val="24"/>
          <w:szCs w:val="24"/>
        </w:rPr>
        <w:t>académicos</w:t>
      </w:r>
      <w:proofErr w:type="spellEnd"/>
      <w:r w:rsidRPr="00210965">
        <w:rPr>
          <w:rFonts w:ascii="Cambria" w:hAnsi="Cambria"/>
          <w:sz w:val="24"/>
          <w:szCs w:val="24"/>
        </w:rPr>
        <w:t xml:space="preserve"> </w:t>
      </w:r>
      <w:r>
        <w:rPr>
          <w:rFonts w:ascii="Cambria" w:hAnsi="Cambria"/>
          <w:sz w:val="24"/>
          <w:szCs w:val="24"/>
        </w:rPr>
        <w:t xml:space="preserve">donde </w:t>
      </w:r>
      <w:r w:rsidRPr="00210965">
        <w:rPr>
          <w:rFonts w:ascii="Cambria" w:hAnsi="Cambria"/>
          <w:sz w:val="24"/>
          <w:szCs w:val="24"/>
        </w:rPr>
        <w:t>los estudiantes participan activamente de manera meta-cognitiva, motivacional y conductual en su</w:t>
      </w:r>
      <w:r>
        <w:rPr>
          <w:rFonts w:ascii="Cambria" w:hAnsi="Cambria"/>
          <w:sz w:val="24"/>
          <w:szCs w:val="24"/>
        </w:rPr>
        <w:t xml:space="preserve"> propio proceso de aprendizaje como lo señala </w:t>
      </w:r>
      <w:r w:rsidRPr="00210965">
        <w:rPr>
          <w:rFonts w:ascii="Cambria" w:hAnsi="Cambria"/>
          <w:sz w:val="24"/>
          <w:szCs w:val="24"/>
        </w:rPr>
        <w:t xml:space="preserve">Zimmerman, </w:t>
      </w:r>
      <w:r>
        <w:rPr>
          <w:rFonts w:ascii="Cambria" w:hAnsi="Cambria"/>
          <w:sz w:val="24"/>
          <w:szCs w:val="24"/>
        </w:rPr>
        <w:t>(1989),  colocando al</w:t>
      </w:r>
      <w:r w:rsidRPr="00210965">
        <w:rPr>
          <w:rFonts w:ascii="Cambria" w:hAnsi="Cambria"/>
          <w:sz w:val="24"/>
          <w:szCs w:val="24"/>
        </w:rPr>
        <w:t xml:space="preserve"> estudiante </w:t>
      </w:r>
      <w:r>
        <w:rPr>
          <w:rFonts w:ascii="Cambria" w:hAnsi="Cambria"/>
          <w:sz w:val="24"/>
          <w:szCs w:val="24"/>
        </w:rPr>
        <w:t>como</w:t>
      </w:r>
      <w:r w:rsidRPr="00210965">
        <w:rPr>
          <w:rFonts w:ascii="Cambria" w:hAnsi="Cambria"/>
          <w:sz w:val="24"/>
          <w:szCs w:val="24"/>
        </w:rPr>
        <w:t xml:space="preserve"> protagonista del proceso d</w:t>
      </w:r>
      <w:r>
        <w:rPr>
          <w:rFonts w:ascii="Cambria" w:hAnsi="Cambria"/>
          <w:sz w:val="24"/>
          <w:szCs w:val="24"/>
        </w:rPr>
        <w:t>e su educación.</w:t>
      </w:r>
    </w:p>
    <w:p w:rsidR="00AD578C" w:rsidRPr="00F43C00" w:rsidRDefault="00AD578C" w:rsidP="00AD578C">
      <w:pPr>
        <w:pStyle w:val="NormalWeb"/>
        <w:spacing w:before="2" w:after="2"/>
        <w:jc w:val="both"/>
        <w:rPr>
          <w:rFonts w:ascii="Cambria" w:hAnsi="Cambria"/>
          <w:sz w:val="24"/>
          <w:szCs w:val="24"/>
        </w:rPr>
      </w:pPr>
    </w:p>
    <w:p w:rsidR="00AD578C" w:rsidRDefault="00AD578C" w:rsidP="00AD578C">
      <w:pPr>
        <w:pStyle w:val="NormalWeb"/>
        <w:spacing w:before="2" w:after="2"/>
        <w:ind w:firstLine="708"/>
        <w:jc w:val="both"/>
        <w:rPr>
          <w:rFonts w:ascii="Cambria" w:hAnsi="Cambria"/>
          <w:sz w:val="24"/>
          <w:szCs w:val="24"/>
        </w:rPr>
      </w:pPr>
      <w:r>
        <w:rPr>
          <w:rFonts w:ascii="Cambria" w:hAnsi="Cambria"/>
          <w:sz w:val="24"/>
          <w:szCs w:val="24"/>
        </w:rPr>
        <w:t>En ese sentido la</w:t>
      </w:r>
      <w:r w:rsidRPr="00210965">
        <w:rPr>
          <w:rFonts w:ascii="Cambria" w:hAnsi="Cambria"/>
          <w:sz w:val="24"/>
          <w:szCs w:val="24"/>
        </w:rPr>
        <w:t xml:space="preserve"> </w:t>
      </w:r>
      <w:proofErr w:type="spellStart"/>
      <w:r w:rsidRPr="00210965">
        <w:rPr>
          <w:rFonts w:ascii="Cambria" w:hAnsi="Cambria"/>
          <w:sz w:val="24"/>
          <w:szCs w:val="24"/>
        </w:rPr>
        <w:t>autogestión</w:t>
      </w:r>
      <w:proofErr w:type="spellEnd"/>
      <w:r w:rsidRPr="00210965">
        <w:rPr>
          <w:rFonts w:ascii="Cambria" w:hAnsi="Cambria"/>
          <w:sz w:val="24"/>
          <w:szCs w:val="24"/>
        </w:rPr>
        <w:t xml:space="preserve"> del aprendizaje </w:t>
      </w:r>
      <w:r>
        <w:rPr>
          <w:rFonts w:ascii="Cambria" w:hAnsi="Cambria"/>
          <w:sz w:val="24"/>
          <w:szCs w:val="24"/>
        </w:rPr>
        <w:t>incorpora al</w:t>
      </w:r>
      <w:r w:rsidRPr="00210965">
        <w:rPr>
          <w:rFonts w:ascii="Cambria" w:hAnsi="Cambria"/>
          <w:sz w:val="24"/>
          <w:szCs w:val="24"/>
        </w:rPr>
        <w:t xml:space="preserve"> estudiante como </w:t>
      </w:r>
      <w:proofErr w:type="spellStart"/>
      <w:r w:rsidRPr="00210965">
        <w:rPr>
          <w:rFonts w:ascii="Cambria" w:hAnsi="Cambria"/>
          <w:sz w:val="24"/>
          <w:szCs w:val="24"/>
        </w:rPr>
        <w:t>dueño</w:t>
      </w:r>
      <w:proofErr w:type="spellEnd"/>
      <w:r w:rsidRPr="00210965">
        <w:rPr>
          <w:rFonts w:ascii="Cambria" w:hAnsi="Cambria"/>
          <w:sz w:val="24"/>
          <w:szCs w:val="24"/>
        </w:rPr>
        <w:t xml:space="preserve"> de su propio aprendizaje, </w:t>
      </w:r>
      <w:r>
        <w:rPr>
          <w:rFonts w:ascii="Cambria" w:hAnsi="Cambria"/>
          <w:sz w:val="24"/>
          <w:szCs w:val="24"/>
        </w:rPr>
        <w:t xml:space="preserve">como el verdadero protagonista de los mismos, por lo que </w:t>
      </w:r>
      <w:r w:rsidRPr="00210965">
        <w:rPr>
          <w:rFonts w:ascii="Cambria" w:hAnsi="Cambria"/>
          <w:sz w:val="24"/>
          <w:szCs w:val="24"/>
        </w:rPr>
        <w:t xml:space="preserve">monitorea sus objetivos </w:t>
      </w:r>
      <w:proofErr w:type="spellStart"/>
      <w:r w:rsidRPr="00210965">
        <w:rPr>
          <w:rFonts w:ascii="Cambria" w:hAnsi="Cambria"/>
          <w:sz w:val="24"/>
          <w:szCs w:val="24"/>
        </w:rPr>
        <w:t>académicos</w:t>
      </w:r>
      <w:proofErr w:type="spellEnd"/>
      <w:r w:rsidRPr="00210965">
        <w:rPr>
          <w:rFonts w:ascii="Cambria" w:hAnsi="Cambria"/>
          <w:sz w:val="24"/>
          <w:szCs w:val="24"/>
        </w:rPr>
        <w:t xml:space="preserve"> y motivacionales, administra recursos m</w:t>
      </w:r>
      <w:r>
        <w:rPr>
          <w:rFonts w:ascii="Cambria" w:hAnsi="Cambria"/>
          <w:sz w:val="24"/>
          <w:szCs w:val="24"/>
        </w:rPr>
        <w:t>ateriales y humanos, y toma</w:t>
      </w:r>
      <w:r w:rsidRPr="00210965">
        <w:rPr>
          <w:rFonts w:ascii="Cambria" w:hAnsi="Cambria"/>
          <w:sz w:val="24"/>
          <w:szCs w:val="24"/>
        </w:rPr>
        <w:t xml:space="preserve"> en cuenta</w:t>
      </w:r>
      <w:r>
        <w:rPr>
          <w:rFonts w:ascii="Cambria" w:hAnsi="Cambria"/>
          <w:sz w:val="24"/>
          <w:szCs w:val="24"/>
        </w:rPr>
        <w:t xml:space="preserve"> estos aspectos</w:t>
      </w:r>
      <w:r w:rsidRPr="00210965">
        <w:rPr>
          <w:rFonts w:ascii="Cambria" w:hAnsi="Cambria"/>
          <w:sz w:val="24"/>
          <w:szCs w:val="24"/>
        </w:rPr>
        <w:t xml:space="preserve"> en las decisiones y </w:t>
      </w:r>
      <w:proofErr w:type="spellStart"/>
      <w:r w:rsidRPr="00210965">
        <w:rPr>
          <w:rFonts w:ascii="Cambria" w:hAnsi="Cambria"/>
          <w:sz w:val="24"/>
          <w:szCs w:val="24"/>
        </w:rPr>
        <w:t>desempeños</w:t>
      </w:r>
      <w:proofErr w:type="spellEnd"/>
      <w:r w:rsidRPr="00210965">
        <w:rPr>
          <w:rFonts w:ascii="Cambria" w:hAnsi="Cambria"/>
          <w:sz w:val="24"/>
          <w:szCs w:val="24"/>
        </w:rPr>
        <w:t xml:space="preserve"> de tod</w:t>
      </w:r>
      <w:r>
        <w:rPr>
          <w:rFonts w:ascii="Cambria" w:hAnsi="Cambria"/>
          <w:sz w:val="24"/>
          <w:szCs w:val="24"/>
        </w:rPr>
        <w:t xml:space="preserve">os los procesos de aprendizaje que enfrenta, así como lo señala </w:t>
      </w:r>
      <w:proofErr w:type="spellStart"/>
      <w:r>
        <w:rPr>
          <w:rFonts w:ascii="Cambria" w:hAnsi="Cambria"/>
          <w:sz w:val="24"/>
          <w:szCs w:val="24"/>
        </w:rPr>
        <w:t>Bandura</w:t>
      </w:r>
      <w:proofErr w:type="spellEnd"/>
      <w:r>
        <w:rPr>
          <w:rFonts w:ascii="Cambria" w:hAnsi="Cambria"/>
          <w:sz w:val="24"/>
          <w:szCs w:val="24"/>
        </w:rPr>
        <w:t>, (</w:t>
      </w:r>
      <w:r w:rsidRPr="00210965">
        <w:rPr>
          <w:rFonts w:ascii="Cambria" w:hAnsi="Cambria"/>
          <w:sz w:val="24"/>
          <w:szCs w:val="24"/>
        </w:rPr>
        <w:t xml:space="preserve">1977). </w:t>
      </w:r>
    </w:p>
    <w:p w:rsidR="00AD578C" w:rsidRPr="00210965" w:rsidRDefault="00AD578C" w:rsidP="00AD578C">
      <w:pPr>
        <w:pStyle w:val="NormalWeb"/>
        <w:spacing w:before="2" w:after="2"/>
        <w:ind w:firstLine="708"/>
        <w:jc w:val="both"/>
        <w:rPr>
          <w:rFonts w:ascii="Cambria" w:hAnsi="Cambria"/>
        </w:rPr>
      </w:pPr>
    </w:p>
    <w:p w:rsidR="00AD578C" w:rsidRDefault="00AD578C" w:rsidP="00AD578C">
      <w:pPr>
        <w:pStyle w:val="NormalWeb"/>
        <w:spacing w:before="2" w:after="2"/>
        <w:ind w:firstLine="708"/>
        <w:jc w:val="both"/>
        <w:rPr>
          <w:rFonts w:ascii="Cambria" w:hAnsi="Cambria"/>
          <w:sz w:val="24"/>
          <w:szCs w:val="24"/>
        </w:rPr>
      </w:pPr>
      <w:r>
        <w:rPr>
          <w:rFonts w:ascii="Cambria" w:hAnsi="Cambria"/>
          <w:sz w:val="24"/>
          <w:szCs w:val="24"/>
        </w:rPr>
        <w:t>Desde esa perspectiva el proceso de aprendizaje, entonces, requiere de la consideración y de la incorporación de determinados factores como la  meta cognición,</w:t>
      </w:r>
      <w:r w:rsidRPr="003D19EC">
        <w:rPr>
          <w:rFonts w:ascii="Cambria" w:hAnsi="Cambria"/>
          <w:sz w:val="24"/>
          <w:szCs w:val="24"/>
        </w:rPr>
        <w:t xml:space="preserve"> </w:t>
      </w:r>
      <w:r>
        <w:rPr>
          <w:rFonts w:ascii="Cambria" w:hAnsi="Cambria"/>
          <w:sz w:val="24"/>
          <w:szCs w:val="24"/>
        </w:rPr>
        <w:t>elemento central</w:t>
      </w:r>
      <w:r w:rsidRPr="003D19EC">
        <w:rPr>
          <w:rFonts w:ascii="Cambria" w:hAnsi="Cambria"/>
          <w:sz w:val="24"/>
          <w:szCs w:val="24"/>
        </w:rPr>
        <w:t xml:space="preserve"> en la </w:t>
      </w:r>
      <w:r>
        <w:rPr>
          <w:rFonts w:ascii="Cambria" w:hAnsi="Cambria"/>
          <w:sz w:val="24"/>
          <w:szCs w:val="24"/>
        </w:rPr>
        <w:t>planeació</w:t>
      </w:r>
      <w:r w:rsidRPr="003D19EC">
        <w:rPr>
          <w:rFonts w:ascii="Cambria" w:hAnsi="Cambria"/>
          <w:sz w:val="24"/>
          <w:szCs w:val="24"/>
        </w:rPr>
        <w:t xml:space="preserve">n, la </w:t>
      </w:r>
      <w:r>
        <w:rPr>
          <w:rFonts w:ascii="Cambria" w:hAnsi="Cambria"/>
          <w:sz w:val="24"/>
          <w:szCs w:val="24"/>
        </w:rPr>
        <w:t>solució</w:t>
      </w:r>
      <w:r w:rsidRPr="003D19EC">
        <w:rPr>
          <w:rFonts w:ascii="Cambria" w:hAnsi="Cambria"/>
          <w:sz w:val="24"/>
          <w:szCs w:val="24"/>
        </w:rPr>
        <w:t xml:space="preserve">n de problemas, la </w:t>
      </w:r>
      <w:proofErr w:type="spellStart"/>
      <w:r w:rsidRPr="003D19EC">
        <w:rPr>
          <w:rFonts w:ascii="Cambria" w:hAnsi="Cambria"/>
          <w:sz w:val="24"/>
          <w:szCs w:val="24"/>
        </w:rPr>
        <w:t>evaluación</w:t>
      </w:r>
      <w:proofErr w:type="spellEnd"/>
      <w:r w:rsidRPr="003D19EC">
        <w:rPr>
          <w:rFonts w:ascii="Cambria" w:hAnsi="Cambria"/>
          <w:sz w:val="24"/>
          <w:szCs w:val="24"/>
        </w:rPr>
        <w:t xml:space="preserve"> y muchos </w:t>
      </w:r>
      <w:r>
        <w:rPr>
          <w:rFonts w:ascii="Cambria" w:hAnsi="Cambria"/>
          <w:sz w:val="24"/>
          <w:szCs w:val="24"/>
        </w:rPr>
        <w:t xml:space="preserve">otros aspectos del aprendizaje, pues permiten a los individuos hacerse </w:t>
      </w:r>
      <w:r w:rsidRPr="003D19EC">
        <w:rPr>
          <w:rFonts w:ascii="Cambria" w:hAnsi="Cambria"/>
          <w:sz w:val="24"/>
          <w:szCs w:val="24"/>
        </w:rPr>
        <w:t>consciente</w:t>
      </w:r>
      <w:r>
        <w:rPr>
          <w:rFonts w:ascii="Cambria" w:hAnsi="Cambria"/>
          <w:sz w:val="24"/>
          <w:szCs w:val="24"/>
        </w:rPr>
        <w:t>s de sus procesos de aprendizaje</w:t>
      </w:r>
      <w:r>
        <w:rPr>
          <w:rFonts w:ascii="Cambria" w:hAnsi="Cambria"/>
          <w:sz w:val="24"/>
        </w:rPr>
        <w:t xml:space="preserve">, desarrollando el </w:t>
      </w:r>
      <w:r>
        <w:rPr>
          <w:rFonts w:ascii="Cambria" w:hAnsi="Cambria"/>
          <w:sz w:val="24"/>
          <w:szCs w:val="24"/>
        </w:rPr>
        <w:t xml:space="preserve">pensamiento crítico.  La </w:t>
      </w:r>
      <w:proofErr w:type="spellStart"/>
      <w:r>
        <w:rPr>
          <w:rFonts w:ascii="Cambria" w:hAnsi="Cambria"/>
          <w:sz w:val="24"/>
          <w:szCs w:val="24"/>
        </w:rPr>
        <w:t>m</w:t>
      </w:r>
      <w:r w:rsidRPr="003D19EC">
        <w:rPr>
          <w:rFonts w:ascii="Cambria" w:hAnsi="Cambria"/>
          <w:sz w:val="24"/>
          <w:szCs w:val="24"/>
        </w:rPr>
        <w:t>otivación</w:t>
      </w:r>
      <w:proofErr w:type="spellEnd"/>
      <w:r>
        <w:rPr>
          <w:rFonts w:ascii="Cambria" w:hAnsi="Cambria"/>
          <w:sz w:val="24"/>
          <w:szCs w:val="24"/>
        </w:rPr>
        <w:t>, es otro factor relevante dentro del proceso, que</w:t>
      </w:r>
      <w:r w:rsidRPr="003D19EC">
        <w:rPr>
          <w:rFonts w:ascii="Cambria" w:hAnsi="Cambria"/>
          <w:sz w:val="24"/>
          <w:szCs w:val="24"/>
        </w:rPr>
        <w:t xml:space="preserve"> tiene que ver co</w:t>
      </w:r>
      <w:r>
        <w:rPr>
          <w:rFonts w:ascii="Cambria" w:hAnsi="Cambria"/>
          <w:sz w:val="24"/>
          <w:szCs w:val="24"/>
        </w:rPr>
        <w:t>n la energía</w:t>
      </w:r>
      <w:r w:rsidRPr="003D19EC">
        <w:rPr>
          <w:rFonts w:ascii="Cambria" w:hAnsi="Cambria"/>
          <w:sz w:val="24"/>
          <w:szCs w:val="24"/>
        </w:rPr>
        <w:t xml:space="preserve"> auto-generada que </w:t>
      </w:r>
      <w:r>
        <w:rPr>
          <w:rFonts w:ascii="Cambria" w:hAnsi="Cambria"/>
          <w:sz w:val="24"/>
          <w:szCs w:val="24"/>
        </w:rPr>
        <w:t xml:space="preserve">le </w:t>
      </w:r>
      <w:r w:rsidRPr="003D19EC">
        <w:rPr>
          <w:rFonts w:ascii="Cambria" w:hAnsi="Cambria"/>
          <w:sz w:val="24"/>
          <w:szCs w:val="24"/>
        </w:rPr>
        <w:t xml:space="preserve">da </w:t>
      </w:r>
      <w:r>
        <w:rPr>
          <w:rFonts w:ascii="Cambria" w:hAnsi="Cambria"/>
          <w:sz w:val="24"/>
          <w:szCs w:val="24"/>
        </w:rPr>
        <w:t>la dirección</w:t>
      </w:r>
      <w:r w:rsidRPr="003D19EC">
        <w:rPr>
          <w:rFonts w:ascii="Cambria" w:hAnsi="Cambria"/>
          <w:sz w:val="24"/>
          <w:szCs w:val="24"/>
        </w:rPr>
        <w:t xml:space="preserve"> a </w:t>
      </w:r>
      <w:r>
        <w:rPr>
          <w:rFonts w:ascii="Cambria" w:hAnsi="Cambria"/>
          <w:sz w:val="24"/>
          <w:szCs w:val="24"/>
        </w:rPr>
        <w:t xml:space="preserve">nuestra conducta, dirigiendo esta energía hacia un objetivo o </w:t>
      </w:r>
      <w:proofErr w:type="spellStart"/>
      <w:r>
        <w:rPr>
          <w:rFonts w:ascii="Cambria" w:hAnsi="Cambria"/>
          <w:sz w:val="24"/>
          <w:szCs w:val="24"/>
        </w:rPr>
        <w:t>propósito</w:t>
      </w:r>
      <w:proofErr w:type="spellEnd"/>
      <w:r>
        <w:rPr>
          <w:rFonts w:ascii="Cambria" w:hAnsi="Cambria"/>
          <w:sz w:val="24"/>
          <w:szCs w:val="24"/>
        </w:rPr>
        <w:t xml:space="preserve"> particular, lo </w:t>
      </w:r>
      <w:r w:rsidRPr="003D19EC">
        <w:rPr>
          <w:rFonts w:ascii="Cambria" w:hAnsi="Cambria"/>
          <w:sz w:val="24"/>
          <w:szCs w:val="24"/>
        </w:rPr>
        <w:t xml:space="preserve"> </w:t>
      </w:r>
      <w:r>
        <w:rPr>
          <w:rFonts w:ascii="Cambria" w:hAnsi="Cambria"/>
          <w:sz w:val="24"/>
          <w:szCs w:val="24"/>
        </w:rPr>
        <w:t>que</w:t>
      </w:r>
      <w:r w:rsidRPr="003D19EC">
        <w:rPr>
          <w:rFonts w:ascii="Cambria" w:hAnsi="Cambria"/>
          <w:sz w:val="24"/>
          <w:szCs w:val="24"/>
        </w:rPr>
        <w:t xml:space="preserve"> es medular para la auto</w:t>
      </w:r>
      <w:r>
        <w:rPr>
          <w:rFonts w:ascii="Cambria" w:hAnsi="Cambria"/>
          <w:sz w:val="24"/>
          <w:szCs w:val="24"/>
        </w:rPr>
        <w:t xml:space="preserve"> gestión</w:t>
      </w:r>
      <w:r w:rsidRPr="003D19EC">
        <w:rPr>
          <w:rFonts w:ascii="Cambria" w:hAnsi="Cambria"/>
          <w:sz w:val="24"/>
          <w:szCs w:val="24"/>
        </w:rPr>
        <w:t xml:space="preserve"> del apren</w:t>
      </w:r>
      <w:r>
        <w:rPr>
          <w:rFonts w:ascii="Cambria" w:hAnsi="Cambria"/>
          <w:sz w:val="24"/>
          <w:szCs w:val="24"/>
        </w:rPr>
        <w:t>dizaje, instalando un objetivo intrínseco o extrínseco que nos guíe hacia el automejoramiento, implicando en ello la valoración de la tarea, controlando las creencias que los estudiantes tienen acerca de sus aprendizajes, desarrollando la auto – eficacia del aprendizaje, así como el propio desempeño y el control de la ansiedad frente al aprendizaje como tal</w:t>
      </w:r>
      <w:r w:rsidRPr="003D19EC">
        <w:rPr>
          <w:rFonts w:ascii="Cambria" w:hAnsi="Cambria"/>
          <w:sz w:val="24"/>
          <w:szCs w:val="24"/>
        </w:rPr>
        <w:t>.</w:t>
      </w:r>
      <w:r>
        <w:rPr>
          <w:rFonts w:ascii="Cambria" w:hAnsi="Cambria"/>
          <w:sz w:val="24"/>
          <w:szCs w:val="24"/>
        </w:rPr>
        <w:t xml:space="preserve"> </w:t>
      </w:r>
    </w:p>
    <w:p w:rsidR="00AD578C" w:rsidRDefault="00AD578C" w:rsidP="00AD578C">
      <w:pPr>
        <w:pStyle w:val="NormalWeb"/>
        <w:spacing w:before="2" w:after="2"/>
        <w:jc w:val="both"/>
        <w:rPr>
          <w:rFonts w:ascii="Cambria" w:hAnsi="Cambria"/>
          <w:sz w:val="24"/>
          <w:szCs w:val="24"/>
        </w:rPr>
      </w:pPr>
    </w:p>
    <w:p w:rsidR="00AD578C" w:rsidRDefault="00AD578C" w:rsidP="00AD578C">
      <w:pPr>
        <w:pStyle w:val="NormalWeb"/>
        <w:spacing w:before="2" w:after="2"/>
        <w:jc w:val="both"/>
        <w:rPr>
          <w:rFonts w:ascii="Cambria" w:hAnsi="Cambria"/>
        </w:rPr>
      </w:pPr>
      <w:r>
        <w:rPr>
          <w:rFonts w:ascii="Cambria" w:hAnsi="Cambria"/>
          <w:sz w:val="24"/>
          <w:szCs w:val="24"/>
        </w:rPr>
        <w:t>(</w:t>
      </w:r>
      <w:r>
        <w:rPr>
          <w:rFonts w:ascii="Cambria" w:hAnsi="Cambria"/>
          <w:szCs w:val="24"/>
        </w:rPr>
        <w:t>P</w:t>
      </w:r>
      <w:r w:rsidRPr="00AA4A25">
        <w:rPr>
          <w:rFonts w:ascii="Cambria" w:hAnsi="Cambria"/>
          <w:szCs w:val="24"/>
        </w:rPr>
        <w:t xml:space="preserve">ara complementar la reflexión ver video: </w:t>
      </w:r>
      <w:r w:rsidRPr="00F25014">
        <w:rPr>
          <w:rFonts w:ascii="Cambria" w:hAnsi="Cambria"/>
          <w:b/>
          <w:i/>
          <w:szCs w:val="24"/>
        </w:rPr>
        <w:t>“Motivación y aprendizaje”.</w:t>
      </w:r>
      <w:r w:rsidRPr="00AA4A25">
        <w:rPr>
          <w:rFonts w:ascii="Cambria" w:hAnsi="Cambria"/>
          <w:szCs w:val="24"/>
        </w:rPr>
        <w:t xml:space="preserve"> Página </w:t>
      </w:r>
      <w:proofErr w:type="spellStart"/>
      <w:r w:rsidRPr="00AA4A25">
        <w:rPr>
          <w:rFonts w:ascii="Cambria" w:hAnsi="Cambria"/>
          <w:szCs w:val="24"/>
        </w:rPr>
        <w:t>web</w:t>
      </w:r>
      <w:proofErr w:type="spellEnd"/>
      <w:r w:rsidRPr="00AA4A25">
        <w:rPr>
          <w:rFonts w:ascii="Cambria" w:hAnsi="Cambria"/>
          <w:szCs w:val="24"/>
        </w:rPr>
        <w:t xml:space="preserve">: “Educar para transformar”. Link: </w:t>
      </w:r>
      <w:hyperlink r:id="rId18" w:history="1">
        <w:r w:rsidRPr="00A84151">
          <w:rPr>
            <w:rStyle w:val="Hipervnculo"/>
            <w:rFonts w:ascii="Cambria" w:hAnsi="Cambria"/>
          </w:rPr>
          <w:t>http://kazolas.wix.com/educaytransforma#!bibliografia-bloque-i/ct7f</w:t>
        </w:r>
      </w:hyperlink>
      <w:r>
        <w:rPr>
          <w:rFonts w:ascii="Cambria" w:hAnsi="Cambria"/>
        </w:rPr>
        <w:t xml:space="preserve">) </w:t>
      </w:r>
    </w:p>
    <w:p w:rsidR="00AD578C" w:rsidRDefault="00AD578C" w:rsidP="00AD578C">
      <w:pPr>
        <w:pStyle w:val="NormalWeb"/>
        <w:spacing w:before="2" w:after="2"/>
        <w:ind w:firstLine="708"/>
        <w:jc w:val="both"/>
        <w:rPr>
          <w:rFonts w:ascii="Cambria" w:hAnsi="Cambria"/>
        </w:rPr>
      </w:pPr>
    </w:p>
    <w:p w:rsidR="00AD578C" w:rsidRDefault="00AD578C" w:rsidP="00AD578C">
      <w:pPr>
        <w:pStyle w:val="NormalWeb"/>
        <w:spacing w:before="2" w:after="2"/>
        <w:ind w:firstLine="708"/>
        <w:jc w:val="both"/>
        <w:rPr>
          <w:rFonts w:ascii="Cambria" w:hAnsi="Cambria"/>
        </w:rPr>
      </w:pPr>
    </w:p>
    <w:p w:rsidR="00AD578C" w:rsidRDefault="00AD578C" w:rsidP="00AD578C">
      <w:pPr>
        <w:pStyle w:val="NormalWeb"/>
        <w:spacing w:before="2" w:after="2"/>
        <w:ind w:firstLine="708"/>
        <w:jc w:val="both"/>
        <w:rPr>
          <w:rFonts w:ascii="Cambria" w:hAnsi="Cambria"/>
        </w:rPr>
      </w:pPr>
    </w:p>
    <w:p w:rsidR="00AD578C" w:rsidRDefault="00AD578C" w:rsidP="00AD578C">
      <w:pPr>
        <w:pStyle w:val="NormalWeb"/>
        <w:spacing w:before="2" w:after="2"/>
        <w:ind w:firstLine="708"/>
        <w:jc w:val="both"/>
        <w:rPr>
          <w:rFonts w:ascii="Cambria" w:hAnsi="Cambria"/>
        </w:rPr>
      </w:pPr>
    </w:p>
    <w:p w:rsidR="00AD578C" w:rsidRDefault="00AD578C" w:rsidP="00AD578C">
      <w:pPr>
        <w:pStyle w:val="NormalWeb"/>
        <w:spacing w:before="2" w:after="2"/>
        <w:ind w:firstLine="708"/>
        <w:jc w:val="both"/>
        <w:rPr>
          <w:rFonts w:ascii="Cambria" w:hAnsi="Cambria"/>
        </w:rPr>
      </w:pPr>
    </w:p>
    <w:p w:rsidR="00AD578C" w:rsidRDefault="00AD578C" w:rsidP="00AD578C">
      <w:pPr>
        <w:pStyle w:val="NormalWeb"/>
        <w:spacing w:before="2" w:after="2"/>
        <w:ind w:firstLine="708"/>
        <w:jc w:val="both"/>
        <w:rPr>
          <w:rFonts w:ascii="Cambria" w:hAnsi="Cambria"/>
          <w:sz w:val="24"/>
          <w:szCs w:val="24"/>
        </w:rPr>
      </w:pPr>
      <w:r>
        <w:rPr>
          <w:rFonts w:ascii="Cambria" w:hAnsi="Cambria"/>
          <w:sz w:val="24"/>
          <w:szCs w:val="24"/>
        </w:rPr>
        <w:t>Un último factor</w:t>
      </w:r>
      <w:r w:rsidRPr="003D19EC">
        <w:rPr>
          <w:rFonts w:ascii="Cambria" w:hAnsi="Cambria"/>
          <w:sz w:val="24"/>
          <w:szCs w:val="24"/>
        </w:rPr>
        <w:t xml:space="preserve"> tiene que ver con esa capacidad para controlar la persistencia de la auto</w:t>
      </w:r>
      <w:r>
        <w:rPr>
          <w:rFonts w:ascii="Cambria" w:hAnsi="Cambria"/>
          <w:sz w:val="24"/>
          <w:szCs w:val="24"/>
        </w:rPr>
        <w:t xml:space="preserve"> - </w:t>
      </w:r>
      <w:proofErr w:type="spellStart"/>
      <w:r w:rsidRPr="003D19EC">
        <w:rPr>
          <w:rFonts w:ascii="Cambria" w:hAnsi="Cambria"/>
          <w:sz w:val="24"/>
          <w:szCs w:val="24"/>
        </w:rPr>
        <w:t>gestión</w:t>
      </w:r>
      <w:proofErr w:type="spellEnd"/>
      <w:r w:rsidRPr="003D19EC">
        <w:rPr>
          <w:rFonts w:ascii="Cambria" w:hAnsi="Cambria"/>
          <w:sz w:val="24"/>
          <w:szCs w:val="24"/>
        </w:rPr>
        <w:t xml:space="preserve"> del aprendizaje</w:t>
      </w:r>
      <w:r>
        <w:rPr>
          <w:rFonts w:ascii="Cambria" w:hAnsi="Cambria"/>
          <w:sz w:val="24"/>
          <w:szCs w:val="24"/>
        </w:rPr>
        <w:t>, llamado voluntad y que da cuenta de la persistencia, complemento del compromiso que implica la motivación y que posibilita los procesos de autorregulación en el aprendizaje</w:t>
      </w:r>
      <w:r w:rsidRPr="003D19EC">
        <w:rPr>
          <w:rFonts w:ascii="Cambria" w:hAnsi="Cambria"/>
          <w:sz w:val="24"/>
          <w:szCs w:val="24"/>
        </w:rPr>
        <w:t xml:space="preserve">. </w:t>
      </w:r>
    </w:p>
    <w:p w:rsidR="00AD578C" w:rsidRDefault="00AD578C" w:rsidP="00AD578C">
      <w:pPr>
        <w:pStyle w:val="NormalWeb"/>
        <w:spacing w:before="2" w:after="2"/>
        <w:ind w:firstLine="708"/>
        <w:jc w:val="both"/>
        <w:rPr>
          <w:rFonts w:ascii="Cambria" w:hAnsi="Cambria"/>
          <w:sz w:val="24"/>
          <w:szCs w:val="24"/>
        </w:rPr>
      </w:pPr>
    </w:p>
    <w:p w:rsidR="00AD578C" w:rsidRPr="006B5EDF" w:rsidRDefault="00AD578C" w:rsidP="00AD578C">
      <w:pPr>
        <w:pStyle w:val="NormalWeb"/>
        <w:spacing w:before="2" w:after="2"/>
        <w:ind w:firstLine="708"/>
        <w:jc w:val="both"/>
        <w:rPr>
          <w:rFonts w:ascii="Cambria" w:hAnsi="Cambria"/>
        </w:rPr>
      </w:pPr>
      <w:r>
        <w:rPr>
          <w:rFonts w:ascii="Cambria" w:hAnsi="Cambria"/>
          <w:noProof/>
          <w:sz w:val="24"/>
          <w:szCs w:val="24"/>
        </w:rPr>
        <w:drawing>
          <wp:inline distT="0" distB="0" distL="0" distR="0">
            <wp:extent cx="4589145" cy="3114040"/>
            <wp:effectExtent l="25400" t="0" r="8255" b="0"/>
            <wp:docPr id="19" name="Imagen 19" descr="lamina-autorregulacion-del-aprendizaj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mina-autorregulacion-del-aprendizaje5"/>
                    <pic:cNvPicPr>
                      <a:picLocks noChangeAspect="1" noChangeArrowheads="1"/>
                    </pic:cNvPicPr>
                  </pic:nvPicPr>
                  <pic:blipFill>
                    <a:blip r:embed="rId19"/>
                    <a:srcRect/>
                    <a:stretch>
                      <a:fillRect/>
                    </a:stretch>
                  </pic:blipFill>
                  <pic:spPr bwMode="auto">
                    <a:xfrm>
                      <a:off x="0" y="0"/>
                      <a:ext cx="4589145" cy="3114040"/>
                    </a:xfrm>
                    <a:prstGeom prst="rect">
                      <a:avLst/>
                    </a:prstGeom>
                    <a:noFill/>
                    <a:ln w="9525">
                      <a:noFill/>
                      <a:miter lim="800000"/>
                      <a:headEnd/>
                      <a:tailEnd/>
                    </a:ln>
                  </pic:spPr>
                </pic:pic>
              </a:graphicData>
            </a:graphic>
          </wp:inline>
        </w:drawing>
      </w:r>
    </w:p>
    <w:p w:rsidR="00AD578C" w:rsidRDefault="00AD578C" w:rsidP="00AD578C">
      <w:pPr>
        <w:widowControl w:val="0"/>
        <w:autoSpaceDE w:val="0"/>
        <w:autoSpaceDN w:val="0"/>
        <w:adjustRightInd w:val="0"/>
        <w:jc w:val="both"/>
        <w:rPr>
          <w:rFonts w:cs="Geneva"/>
          <w:color w:val="232323"/>
          <w:sz w:val="16"/>
          <w:szCs w:val="26"/>
          <w:lang w:eastAsia="es-ES_tradnl"/>
        </w:rPr>
      </w:pPr>
      <w:r>
        <w:rPr>
          <w:rFonts w:cs="Geneva"/>
          <w:color w:val="232323"/>
          <w:sz w:val="16"/>
          <w:szCs w:val="26"/>
          <w:lang w:eastAsia="es-ES_tradnl"/>
        </w:rPr>
        <w:t xml:space="preserve">Imagen </w:t>
      </w:r>
      <w:proofErr w:type="spellStart"/>
      <w:r w:rsidRPr="00C43058">
        <w:rPr>
          <w:rFonts w:cs="Geneva"/>
          <w:color w:val="232323"/>
          <w:sz w:val="16"/>
          <w:szCs w:val="26"/>
          <w:lang w:eastAsia="es-ES_tradnl"/>
        </w:rPr>
        <w:t>xtraída</w:t>
      </w:r>
      <w:proofErr w:type="spellEnd"/>
      <w:r w:rsidRPr="00C43058">
        <w:rPr>
          <w:rFonts w:cs="Geneva"/>
          <w:color w:val="232323"/>
          <w:sz w:val="16"/>
          <w:szCs w:val="26"/>
          <w:lang w:eastAsia="es-ES_tradnl"/>
        </w:rPr>
        <w:t xml:space="preserve"> </w:t>
      </w:r>
      <w:r>
        <w:rPr>
          <w:rFonts w:cs="Geneva"/>
          <w:color w:val="232323"/>
          <w:sz w:val="16"/>
          <w:szCs w:val="26"/>
          <w:lang w:eastAsia="es-ES_tradnl"/>
        </w:rPr>
        <w:t xml:space="preserve">el 19 de Agosto 2013 </w:t>
      </w:r>
      <w:r w:rsidRPr="00C43058">
        <w:rPr>
          <w:rFonts w:cs="Geneva"/>
          <w:color w:val="232323"/>
          <w:sz w:val="16"/>
          <w:szCs w:val="26"/>
          <w:lang w:eastAsia="es-ES_tradnl"/>
        </w:rPr>
        <w:t xml:space="preserve">de: </w:t>
      </w:r>
    </w:p>
    <w:p w:rsidR="00AD578C" w:rsidRDefault="00AD578C" w:rsidP="00AD578C">
      <w:pPr>
        <w:widowControl w:val="0"/>
        <w:autoSpaceDE w:val="0"/>
        <w:autoSpaceDN w:val="0"/>
        <w:adjustRightInd w:val="0"/>
        <w:jc w:val="both"/>
        <w:rPr>
          <w:rFonts w:cs="Geneva"/>
          <w:color w:val="232323"/>
          <w:sz w:val="16"/>
          <w:szCs w:val="26"/>
          <w:lang w:eastAsia="es-ES_tradnl"/>
        </w:rPr>
      </w:pPr>
      <w:hyperlink r:id="rId20" w:history="1">
        <w:r w:rsidRPr="00A84151">
          <w:rPr>
            <w:rStyle w:val="Hipervnculo"/>
            <w:rFonts w:cs="Geneva"/>
            <w:sz w:val="16"/>
            <w:szCs w:val="26"/>
            <w:lang w:eastAsia="es-ES_tradnl"/>
          </w:rPr>
          <w:t>http://www.google.cl/imgres?imgurl=http://portafoliopadcarloscorredor.files.wordpress.com/2012/07/lamina-autorregulacion-del-aprendizaje5.jpg&amp;imgrefurl</w:t>
        </w:r>
      </w:hyperlink>
    </w:p>
    <w:p w:rsidR="00AD578C" w:rsidRPr="00C43058" w:rsidRDefault="00AD578C" w:rsidP="00AD578C">
      <w:pPr>
        <w:widowControl w:val="0"/>
        <w:autoSpaceDE w:val="0"/>
        <w:autoSpaceDN w:val="0"/>
        <w:adjustRightInd w:val="0"/>
        <w:jc w:val="both"/>
        <w:rPr>
          <w:rFonts w:cs="Geneva"/>
          <w:color w:val="232323"/>
          <w:sz w:val="16"/>
          <w:szCs w:val="26"/>
          <w:highlight w:val="yellow"/>
          <w:lang w:eastAsia="es-ES_tradnl"/>
        </w:rPr>
      </w:pPr>
    </w:p>
    <w:p w:rsidR="00AD578C" w:rsidRDefault="00AD578C" w:rsidP="00AD578C">
      <w:pPr>
        <w:pStyle w:val="NormalWeb"/>
        <w:spacing w:before="2" w:after="2"/>
        <w:ind w:firstLine="708"/>
        <w:jc w:val="both"/>
        <w:rPr>
          <w:rFonts w:ascii="Cambria" w:hAnsi="Cambria"/>
          <w:sz w:val="24"/>
          <w:szCs w:val="22"/>
        </w:rPr>
      </w:pPr>
    </w:p>
    <w:p w:rsidR="00AD578C" w:rsidRDefault="00AD578C" w:rsidP="00AD578C">
      <w:pPr>
        <w:pStyle w:val="NormalWeb"/>
        <w:spacing w:before="2" w:after="2"/>
        <w:ind w:firstLine="708"/>
        <w:jc w:val="both"/>
        <w:rPr>
          <w:rFonts w:ascii="Cambria" w:hAnsi="Cambria"/>
          <w:sz w:val="24"/>
          <w:szCs w:val="22"/>
        </w:rPr>
      </w:pPr>
      <w:r>
        <w:rPr>
          <w:rFonts w:ascii="Cambria" w:hAnsi="Cambria"/>
          <w:sz w:val="24"/>
          <w:szCs w:val="22"/>
        </w:rPr>
        <w:t>En tal sentido es que se hace necesario comprender que a</w:t>
      </w:r>
      <w:r w:rsidRPr="003D19EC">
        <w:rPr>
          <w:rFonts w:ascii="Cambria" w:hAnsi="Cambria"/>
          <w:sz w:val="24"/>
          <w:szCs w:val="22"/>
        </w:rPr>
        <w:t xml:space="preserve">prender es algo que los alumnos hacen, y no algo que </w:t>
      </w:r>
      <w:r>
        <w:rPr>
          <w:rFonts w:ascii="Cambria" w:hAnsi="Cambria"/>
          <w:sz w:val="24"/>
          <w:szCs w:val="22"/>
        </w:rPr>
        <w:t>se pueda hacer por</w:t>
      </w:r>
      <w:r w:rsidRPr="003D19EC">
        <w:rPr>
          <w:rFonts w:ascii="Cambria" w:hAnsi="Cambria"/>
          <w:sz w:val="24"/>
          <w:szCs w:val="22"/>
        </w:rPr>
        <w:t xml:space="preserve"> ellos</w:t>
      </w:r>
      <w:r>
        <w:rPr>
          <w:rFonts w:ascii="Cambria" w:hAnsi="Cambria"/>
          <w:sz w:val="24"/>
          <w:szCs w:val="22"/>
        </w:rPr>
        <w:t>, por lo mismo r</w:t>
      </w:r>
      <w:r w:rsidRPr="003D19EC">
        <w:rPr>
          <w:rFonts w:ascii="Cambria" w:hAnsi="Cambria"/>
          <w:sz w:val="24"/>
          <w:szCs w:val="22"/>
        </w:rPr>
        <w:t>equiere</w:t>
      </w:r>
      <w:r>
        <w:rPr>
          <w:rFonts w:ascii="Cambria" w:hAnsi="Cambria"/>
          <w:sz w:val="24"/>
          <w:szCs w:val="22"/>
        </w:rPr>
        <w:t xml:space="preserve"> de la participación</w:t>
      </w:r>
      <w:r w:rsidRPr="003D19EC">
        <w:rPr>
          <w:rFonts w:ascii="Cambria" w:hAnsi="Cambria"/>
          <w:sz w:val="24"/>
          <w:szCs w:val="22"/>
        </w:rPr>
        <w:t xml:space="preserve"> direc</w:t>
      </w:r>
      <w:r>
        <w:rPr>
          <w:rFonts w:ascii="Cambria" w:hAnsi="Cambria"/>
          <w:sz w:val="24"/>
          <w:szCs w:val="22"/>
        </w:rPr>
        <w:t xml:space="preserve">ta y activa de los estudiantes, situación que requiere de un aprendizaje cooperativo, contraponiéndose al funcionamiento de las escuelas durante décadas como organizaciones de producción en masa, que fragmentan el conocimiento y el trabajo ejecutado por docentes aislados, que trabajan solos en su propia aula con sus alumnos y sus materiales.  </w:t>
      </w:r>
      <w:r w:rsidRPr="003D19EC">
        <w:rPr>
          <w:rFonts w:ascii="Cambria" w:hAnsi="Cambria"/>
          <w:sz w:val="24"/>
          <w:szCs w:val="22"/>
        </w:rPr>
        <w:t xml:space="preserve"> </w:t>
      </w:r>
      <w:r>
        <w:rPr>
          <w:rFonts w:ascii="Cambria" w:hAnsi="Cambria"/>
          <w:sz w:val="24"/>
        </w:rPr>
        <w:t xml:space="preserve">En contraposición al </w:t>
      </w:r>
      <w:r w:rsidRPr="007B1221">
        <w:rPr>
          <w:rFonts w:ascii="Cambria" w:hAnsi="Cambria"/>
          <w:sz w:val="24"/>
          <w:szCs w:val="22"/>
        </w:rPr>
        <w:t>aprendizaje cooperativ</w:t>
      </w:r>
      <w:r>
        <w:rPr>
          <w:rFonts w:ascii="Cambria" w:hAnsi="Cambria"/>
          <w:sz w:val="24"/>
          <w:szCs w:val="22"/>
        </w:rPr>
        <w:t xml:space="preserve">o, que en cambio propone </w:t>
      </w:r>
      <w:r w:rsidRPr="007B1221">
        <w:rPr>
          <w:rFonts w:ascii="Cambria" w:hAnsi="Cambria"/>
          <w:sz w:val="24"/>
          <w:szCs w:val="22"/>
        </w:rPr>
        <w:t>al docente reem</w:t>
      </w:r>
      <w:r>
        <w:rPr>
          <w:rFonts w:ascii="Cambria" w:hAnsi="Cambria"/>
          <w:sz w:val="24"/>
          <w:szCs w:val="22"/>
        </w:rPr>
        <w:t>plazar este modelo de producció</w:t>
      </w:r>
      <w:r w:rsidRPr="007B1221">
        <w:rPr>
          <w:rFonts w:ascii="Cambria" w:hAnsi="Cambria"/>
          <w:sz w:val="24"/>
          <w:szCs w:val="22"/>
        </w:rPr>
        <w:t>n en masa por otro modelo</w:t>
      </w:r>
      <w:r>
        <w:rPr>
          <w:rFonts w:ascii="Cambria" w:hAnsi="Cambria"/>
          <w:sz w:val="24"/>
          <w:szCs w:val="22"/>
        </w:rPr>
        <w:t>,</w:t>
      </w:r>
      <w:r w:rsidRPr="007B1221">
        <w:rPr>
          <w:rFonts w:ascii="Cambria" w:hAnsi="Cambria"/>
          <w:sz w:val="24"/>
          <w:szCs w:val="22"/>
        </w:rPr>
        <w:t xml:space="preserve"> </w:t>
      </w:r>
      <w:r>
        <w:rPr>
          <w:rFonts w:ascii="Cambria" w:hAnsi="Cambria"/>
          <w:sz w:val="24"/>
          <w:szCs w:val="22"/>
        </w:rPr>
        <w:t xml:space="preserve">uno </w:t>
      </w:r>
      <w:r w:rsidRPr="007B1221">
        <w:rPr>
          <w:rFonts w:ascii="Cambria" w:hAnsi="Cambria"/>
          <w:sz w:val="24"/>
          <w:szCs w:val="22"/>
        </w:rPr>
        <w:t>basado en el trabajo d</w:t>
      </w:r>
      <w:r>
        <w:rPr>
          <w:rFonts w:ascii="Cambria" w:hAnsi="Cambria"/>
          <w:sz w:val="24"/>
          <w:szCs w:val="22"/>
        </w:rPr>
        <w:t>e equipo y el alto rendimiento, cambiando est</w:t>
      </w:r>
      <w:r w:rsidRPr="007B1221">
        <w:rPr>
          <w:rFonts w:ascii="Cambria" w:hAnsi="Cambria"/>
          <w:sz w:val="24"/>
          <w:szCs w:val="22"/>
        </w:rPr>
        <w:t>a estructura organizativa que afecta todos los aspectos de la vida en el aula</w:t>
      </w:r>
      <w:r>
        <w:rPr>
          <w:rFonts w:ascii="Cambria" w:hAnsi="Cambria"/>
          <w:sz w:val="24"/>
          <w:szCs w:val="22"/>
        </w:rPr>
        <w:t>, instalándonos desde la mirada de una escuela democrática que apunta a la formación de ciudadanos responsables y transformadores de la sociedad en la que se encuentran insertos</w:t>
      </w:r>
      <w:r w:rsidRPr="007B1221">
        <w:rPr>
          <w:rFonts w:ascii="Cambria" w:hAnsi="Cambria"/>
          <w:sz w:val="24"/>
          <w:szCs w:val="22"/>
        </w:rPr>
        <w:t>.</w:t>
      </w:r>
      <w:r>
        <w:rPr>
          <w:rFonts w:ascii="Cambria" w:hAnsi="Cambria"/>
          <w:sz w:val="24"/>
          <w:szCs w:val="22"/>
        </w:rPr>
        <w:t xml:space="preserve"> </w:t>
      </w:r>
    </w:p>
    <w:p w:rsidR="00AD578C" w:rsidRDefault="00AD578C" w:rsidP="00AD578C">
      <w:pPr>
        <w:pStyle w:val="NormalWeb"/>
        <w:spacing w:before="2" w:after="2"/>
        <w:jc w:val="both"/>
        <w:rPr>
          <w:rFonts w:ascii="Cambria" w:hAnsi="Cambria"/>
          <w:sz w:val="24"/>
          <w:szCs w:val="22"/>
        </w:rPr>
      </w:pPr>
    </w:p>
    <w:p w:rsidR="00AD578C" w:rsidRDefault="00AD578C" w:rsidP="00AD578C">
      <w:pPr>
        <w:pStyle w:val="NormalWeb"/>
        <w:spacing w:before="2" w:after="2"/>
        <w:jc w:val="both"/>
        <w:rPr>
          <w:rFonts w:ascii="Cambria" w:hAnsi="Cambria"/>
          <w:sz w:val="24"/>
          <w:szCs w:val="22"/>
        </w:rPr>
      </w:pPr>
      <w:r>
        <w:rPr>
          <w:rFonts w:ascii="Cambria" w:hAnsi="Cambria"/>
          <w:sz w:val="24"/>
          <w:szCs w:val="22"/>
        </w:rPr>
        <w:t>(</w:t>
      </w:r>
      <w:r>
        <w:rPr>
          <w:rFonts w:ascii="Cambria" w:hAnsi="Cambria"/>
          <w:szCs w:val="22"/>
        </w:rPr>
        <w:t>P</w:t>
      </w:r>
      <w:r w:rsidRPr="00CE256A">
        <w:rPr>
          <w:rFonts w:ascii="Cambria" w:hAnsi="Cambria"/>
          <w:szCs w:val="22"/>
        </w:rPr>
        <w:t xml:space="preserve">ara complementar la reflexión, ver video: </w:t>
      </w:r>
      <w:r w:rsidRPr="00F25014">
        <w:rPr>
          <w:rFonts w:ascii="Cambria" w:hAnsi="Cambria"/>
          <w:b/>
          <w:i/>
          <w:szCs w:val="22"/>
        </w:rPr>
        <w:t>“La buena educación</w:t>
      </w:r>
      <w:r>
        <w:rPr>
          <w:rFonts w:ascii="Cambria" w:hAnsi="Cambria"/>
          <w:b/>
          <w:i/>
          <w:szCs w:val="22"/>
        </w:rPr>
        <w:t>”</w:t>
      </w:r>
      <w:r w:rsidRPr="00F25014">
        <w:rPr>
          <w:rFonts w:ascii="Cambria" w:hAnsi="Cambria"/>
          <w:b/>
          <w:i/>
          <w:szCs w:val="22"/>
        </w:rPr>
        <w:t xml:space="preserve">. </w:t>
      </w:r>
      <w:r>
        <w:rPr>
          <w:rFonts w:ascii="Cambria" w:hAnsi="Cambria"/>
          <w:szCs w:val="22"/>
        </w:rPr>
        <w:t>Miguel Ángel Santos Guerra.</w:t>
      </w:r>
      <w:r w:rsidRPr="00CE256A">
        <w:rPr>
          <w:rFonts w:ascii="Cambria" w:hAnsi="Cambria"/>
          <w:szCs w:val="22"/>
        </w:rPr>
        <w:t xml:space="preserve"> Página </w:t>
      </w:r>
      <w:proofErr w:type="spellStart"/>
      <w:r w:rsidRPr="00CE256A">
        <w:rPr>
          <w:rFonts w:ascii="Cambria" w:hAnsi="Cambria"/>
          <w:szCs w:val="22"/>
        </w:rPr>
        <w:t>web</w:t>
      </w:r>
      <w:proofErr w:type="spellEnd"/>
      <w:r w:rsidRPr="00CE256A">
        <w:rPr>
          <w:rFonts w:ascii="Cambria" w:hAnsi="Cambria"/>
          <w:szCs w:val="22"/>
        </w:rPr>
        <w:t xml:space="preserve">: “Educar es transformar”. Link: </w:t>
      </w:r>
      <w:hyperlink r:id="rId21" w:history="1">
        <w:r w:rsidRPr="00A84151">
          <w:rPr>
            <w:rStyle w:val="Hipervnculo"/>
            <w:rFonts w:ascii="Cambria" w:hAnsi="Cambria"/>
            <w:szCs w:val="22"/>
          </w:rPr>
          <w:t>http://kazolas.wix.com/educaytransforma</w:t>
        </w:r>
      </w:hyperlink>
      <w:r>
        <w:rPr>
          <w:rFonts w:ascii="Cambria" w:hAnsi="Cambria"/>
          <w:sz w:val="24"/>
          <w:szCs w:val="22"/>
        </w:rPr>
        <w:t>)</w:t>
      </w:r>
    </w:p>
    <w:p w:rsidR="00AD578C" w:rsidRDefault="00AD578C" w:rsidP="00AD578C">
      <w:pPr>
        <w:pStyle w:val="NormalWeb"/>
        <w:spacing w:before="2" w:after="2"/>
        <w:ind w:firstLine="708"/>
        <w:jc w:val="both"/>
        <w:rPr>
          <w:rFonts w:ascii="Cambria" w:hAnsi="Cambria"/>
          <w:sz w:val="24"/>
          <w:szCs w:val="22"/>
        </w:rPr>
      </w:pPr>
    </w:p>
    <w:p w:rsidR="00AD578C" w:rsidRDefault="00AD578C" w:rsidP="00AD578C">
      <w:pPr>
        <w:pStyle w:val="NormalWeb"/>
        <w:spacing w:before="2" w:after="2"/>
        <w:ind w:firstLine="708"/>
        <w:jc w:val="both"/>
        <w:rPr>
          <w:rFonts w:ascii="Cambria" w:hAnsi="Cambria"/>
          <w:sz w:val="24"/>
          <w:szCs w:val="22"/>
        </w:rPr>
      </w:pPr>
    </w:p>
    <w:p w:rsidR="00AD578C" w:rsidRDefault="00AD578C" w:rsidP="00AD578C">
      <w:pPr>
        <w:pStyle w:val="NormalWeb"/>
        <w:spacing w:before="2" w:after="2"/>
        <w:ind w:firstLine="708"/>
        <w:jc w:val="both"/>
        <w:rPr>
          <w:rFonts w:ascii="Cambria" w:hAnsi="Cambria"/>
          <w:sz w:val="24"/>
          <w:szCs w:val="22"/>
        </w:rPr>
      </w:pPr>
    </w:p>
    <w:p w:rsidR="00AD578C" w:rsidRDefault="00AD578C" w:rsidP="00AD578C">
      <w:pPr>
        <w:pStyle w:val="NormalWeb"/>
        <w:spacing w:before="2" w:after="2"/>
        <w:ind w:firstLine="708"/>
        <w:jc w:val="both"/>
        <w:rPr>
          <w:rFonts w:ascii="Cambria" w:hAnsi="Cambria"/>
          <w:sz w:val="24"/>
          <w:szCs w:val="22"/>
        </w:rPr>
      </w:pPr>
    </w:p>
    <w:p w:rsidR="00AD578C" w:rsidRDefault="00AD578C" w:rsidP="00AD578C">
      <w:pPr>
        <w:pStyle w:val="NormalWeb"/>
        <w:spacing w:before="2" w:after="2"/>
        <w:ind w:firstLine="708"/>
        <w:jc w:val="both"/>
        <w:rPr>
          <w:rFonts w:ascii="Cambria" w:hAnsi="Cambria"/>
          <w:sz w:val="24"/>
          <w:szCs w:val="22"/>
        </w:rPr>
      </w:pPr>
    </w:p>
    <w:p w:rsidR="00AD578C" w:rsidRPr="004829B2" w:rsidRDefault="00AD578C" w:rsidP="00AD578C">
      <w:pPr>
        <w:pStyle w:val="NormalWeb"/>
        <w:spacing w:before="2" w:after="2"/>
        <w:ind w:firstLine="708"/>
        <w:jc w:val="both"/>
        <w:rPr>
          <w:rFonts w:ascii="Cambria" w:hAnsi="Cambria"/>
          <w:sz w:val="24"/>
          <w:szCs w:val="22"/>
        </w:rPr>
      </w:pPr>
      <w:r>
        <w:rPr>
          <w:rFonts w:ascii="Cambria" w:hAnsi="Cambria"/>
          <w:sz w:val="24"/>
          <w:szCs w:val="22"/>
        </w:rPr>
        <w:t>Mirar al alumno, o más bien dicho al estudiante como protagonista nos invita a visualizar e</w:t>
      </w:r>
      <w:r w:rsidRPr="004829B2">
        <w:rPr>
          <w:rFonts w:ascii="Cambria" w:hAnsi="Cambria"/>
          <w:sz w:val="24"/>
          <w:szCs w:val="22"/>
        </w:rPr>
        <w:t xml:space="preserve">l aprendizaje </w:t>
      </w:r>
      <w:r>
        <w:rPr>
          <w:rFonts w:ascii="Cambria" w:hAnsi="Cambria"/>
          <w:sz w:val="24"/>
          <w:szCs w:val="22"/>
        </w:rPr>
        <w:t xml:space="preserve">como </w:t>
      </w:r>
      <w:r w:rsidRPr="004829B2">
        <w:rPr>
          <w:rFonts w:ascii="Cambria" w:hAnsi="Cambria"/>
          <w:sz w:val="24"/>
          <w:szCs w:val="22"/>
        </w:rPr>
        <w:t xml:space="preserve">un proceso consciente y reflexivo de nuestra forma de aprender o </w:t>
      </w:r>
      <w:r w:rsidRPr="004829B2">
        <w:rPr>
          <w:rFonts w:ascii="Cambria" w:hAnsi="Cambria"/>
          <w:bCs/>
          <w:sz w:val="24"/>
          <w:szCs w:val="22"/>
        </w:rPr>
        <w:t>estilo de aprendizaje</w:t>
      </w:r>
      <w:r>
        <w:rPr>
          <w:rFonts w:ascii="Cambria" w:hAnsi="Cambria"/>
          <w:bCs/>
          <w:sz w:val="24"/>
          <w:szCs w:val="22"/>
        </w:rPr>
        <w:t xml:space="preserve">, posibilitando de esta forma que nos superemos a nosotros mismos. </w:t>
      </w:r>
    </w:p>
    <w:p w:rsidR="00AD578C" w:rsidRDefault="00AD578C" w:rsidP="00AD578C">
      <w:pPr>
        <w:pStyle w:val="NormalWeb"/>
        <w:spacing w:before="2" w:after="2"/>
        <w:ind w:firstLine="708"/>
        <w:jc w:val="both"/>
        <w:rPr>
          <w:rFonts w:ascii="Cambria" w:hAnsi="Cambria"/>
          <w:sz w:val="24"/>
          <w:szCs w:val="22"/>
        </w:rPr>
      </w:pPr>
    </w:p>
    <w:p w:rsidR="00AD578C" w:rsidRDefault="00AD578C" w:rsidP="00AD578C">
      <w:pPr>
        <w:pStyle w:val="NormalWeb"/>
        <w:spacing w:before="2" w:after="2"/>
        <w:jc w:val="both"/>
        <w:rPr>
          <w:rFonts w:ascii="Cambria" w:hAnsi="Cambria"/>
          <w:sz w:val="24"/>
          <w:szCs w:val="22"/>
        </w:rPr>
      </w:pPr>
      <w:r>
        <w:rPr>
          <w:rFonts w:ascii="Cambria" w:hAnsi="Cambria"/>
          <w:sz w:val="24"/>
          <w:szCs w:val="22"/>
        </w:rPr>
        <w:t>(</w:t>
      </w:r>
      <w:r>
        <w:rPr>
          <w:rFonts w:ascii="Cambria" w:hAnsi="Cambria"/>
          <w:szCs w:val="22"/>
        </w:rPr>
        <w:t>P</w:t>
      </w:r>
      <w:r w:rsidRPr="00CE256A">
        <w:rPr>
          <w:rFonts w:ascii="Cambria" w:hAnsi="Cambria"/>
          <w:szCs w:val="22"/>
        </w:rPr>
        <w:t>ara complementar la reflexión</w:t>
      </w:r>
      <w:r>
        <w:rPr>
          <w:rFonts w:ascii="Cambria" w:hAnsi="Cambria"/>
          <w:szCs w:val="22"/>
        </w:rPr>
        <w:t xml:space="preserve"> del bloque I</w:t>
      </w:r>
      <w:r w:rsidRPr="00CE256A">
        <w:rPr>
          <w:rFonts w:ascii="Cambria" w:hAnsi="Cambria"/>
          <w:szCs w:val="22"/>
        </w:rPr>
        <w:t xml:space="preserve">, a partir de una crítica a nuestro sistema educativo, ver video: </w:t>
      </w:r>
      <w:r w:rsidRPr="00F845A1">
        <w:rPr>
          <w:rFonts w:ascii="Cambria" w:hAnsi="Cambria"/>
          <w:b/>
          <w:i/>
          <w:szCs w:val="22"/>
        </w:rPr>
        <w:t>“La mala educación chilena: un problema nacional”</w:t>
      </w:r>
      <w:r>
        <w:rPr>
          <w:rFonts w:ascii="Cambria" w:hAnsi="Cambria"/>
          <w:szCs w:val="22"/>
        </w:rPr>
        <w:t xml:space="preserve"> </w:t>
      </w:r>
      <w:r w:rsidRPr="00E628BD">
        <w:rPr>
          <w:rFonts w:ascii="Cambria" w:hAnsi="Cambria" w:cs="Geneva"/>
          <w:color w:val="232323"/>
          <w:szCs w:val="26"/>
        </w:rPr>
        <w:t xml:space="preserve">Gabriel Salazar (Premio Nacional de Historia,2006) y María Olivia </w:t>
      </w:r>
      <w:proofErr w:type="spellStart"/>
      <w:r w:rsidRPr="00E628BD">
        <w:rPr>
          <w:rFonts w:ascii="Cambria" w:hAnsi="Cambria" w:cs="Geneva"/>
          <w:color w:val="232323"/>
          <w:szCs w:val="26"/>
        </w:rPr>
        <w:t>Monckeberg</w:t>
      </w:r>
      <w:proofErr w:type="spellEnd"/>
      <w:r w:rsidRPr="00E628BD">
        <w:rPr>
          <w:rFonts w:ascii="Cambria" w:hAnsi="Cambria" w:cs="Geneva"/>
          <w:color w:val="232323"/>
          <w:szCs w:val="26"/>
        </w:rPr>
        <w:t xml:space="preserve"> (Premio Nacional de Periodismo,2009)</w:t>
      </w:r>
      <w:r w:rsidRPr="00E628BD">
        <w:rPr>
          <w:rFonts w:ascii="Cambria" w:hAnsi="Cambria"/>
          <w:szCs w:val="22"/>
        </w:rPr>
        <w:t>.</w:t>
      </w:r>
      <w:r w:rsidRPr="00CE256A">
        <w:rPr>
          <w:rFonts w:ascii="Cambria" w:hAnsi="Cambria"/>
          <w:szCs w:val="22"/>
        </w:rPr>
        <w:t xml:space="preserve"> Página </w:t>
      </w:r>
      <w:proofErr w:type="spellStart"/>
      <w:r w:rsidRPr="00CE256A">
        <w:rPr>
          <w:rFonts w:ascii="Cambria" w:hAnsi="Cambria"/>
          <w:szCs w:val="22"/>
        </w:rPr>
        <w:t>web</w:t>
      </w:r>
      <w:proofErr w:type="spellEnd"/>
      <w:r w:rsidRPr="00CE256A">
        <w:rPr>
          <w:rFonts w:ascii="Cambria" w:hAnsi="Cambria"/>
          <w:szCs w:val="22"/>
        </w:rPr>
        <w:t xml:space="preserve">: “Educar es transformar”. Link: </w:t>
      </w:r>
      <w:hyperlink r:id="rId22" w:history="1">
        <w:r w:rsidRPr="00A84151">
          <w:rPr>
            <w:rStyle w:val="Hipervnculo"/>
            <w:rFonts w:ascii="Cambria" w:hAnsi="Cambria"/>
            <w:szCs w:val="22"/>
          </w:rPr>
          <w:t>http://kazolas.wix.com/educaytransforma</w:t>
        </w:r>
      </w:hyperlink>
      <w:r>
        <w:rPr>
          <w:rFonts w:ascii="Cambria" w:hAnsi="Cambria"/>
          <w:sz w:val="24"/>
          <w:szCs w:val="22"/>
        </w:rPr>
        <w:t>)</w:t>
      </w:r>
    </w:p>
    <w:p w:rsidR="00AD578C" w:rsidRPr="007B1221" w:rsidRDefault="00AD578C" w:rsidP="00AD578C">
      <w:pPr>
        <w:pStyle w:val="NormalWeb"/>
        <w:spacing w:before="2" w:after="2"/>
        <w:jc w:val="both"/>
        <w:rPr>
          <w:rFonts w:ascii="Cambria" w:hAnsi="Cambria"/>
          <w:sz w:val="24"/>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Pr="00DA70DF" w:rsidRDefault="00AD578C" w:rsidP="00AD578C">
      <w:pPr>
        <w:widowControl w:val="0"/>
        <w:autoSpaceDE w:val="0"/>
        <w:autoSpaceDN w:val="0"/>
        <w:adjustRightInd w:val="0"/>
        <w:rPr>
          <w:rFonts w:cs="Geneva"/>
          <w:color w:val="232323"/>
          <w:szCs w:val="26"/>
          <w:lang w:eastAsia="es-ES_tradnl"/>
        </w:rPr>
      </w:pPr>
    </w:p>
    <w:p w:rsidR="00AD578C" w:rsidRDefault="00AD578C" w:rsidP="00AD578C">
      <w:pPr>
        <w:widowControl w:val="0"/>
        <w:autoSpaceDE w:val="0"/>
        <w:autoSpaceDN w:val="0"/>
        <w:adjustRightInd w:val="0"/>
        <w:jc w:val="center"/>
        <w:rPr>
          <w:rFonts w:cs="Geneva"/>
          <w:color w:val="232323"/>
          <w:sz w:val="28"/>
          <w:szCs w:val="26"/>
          <w:lang w:eastAsia="es-ES_tradnl"/>
        </w:rPr>
      </w:pPr>
    </w:p>
    <w:p w:rsidR="00AD578C" w:rsidRDefault="00AD578C" w:rsidP="00AD578C">
      <w:pPr>
        <w:widowControl w:val="0"/>
        <w:autoSpaceDE w:val="0"/>
        <w:autoSpaceDN w:val="0"/>
        <w:adjustRightInd w:val="0"/>
        <w:jc w:val="center"/>
        <w:rPr>
          <w:rFonts w:cs="Geneva"/>
          <w:color w:val="232323"/>
          <w:sz w:val="28"/>
          <w:szCs w:val="26"/>
          <w:lang w:eastAsia="es-ES_tradnl"/>
        </w:rPr>
      </w:pPr>
    </w:p>
    <w:p w:rsidR="00AD578C" w:rsidRDefault="00AD578C" w:rsidP="00AD578C">
      <w:pPr>
        <w:widowControl w:val="0"/>
        <w:autoSpaceDE w:val="0"/>
        <w:autoSpaceDN w:val="0"/>
        <w:adjustRightInd w:val="0"/>
        <w:jc w:val="center"/>
        <w:rPr>
          <w:rFonts w:cs="Geneva"/>
          <w:color w:val="232323"/>
          <w:sz w:val="28"/>
          <w:szCs w:val="26"/>
          <w:lang w:eastAsia="es-ES_tradnl"/>
        </w:rPr>
      </w:pPr>
    </w:p>
    <w:p w:rsidR="00AD578C" w:rsidRDefault="00AD578C" w:rsidP="00AD578C">
      <w:pPr>
        <w:widowControl w:val="0"/>
        <w:autoSpaceDE w:val="0"/>
        <w:autoSpaceDN w:val="0"/>
        <w:adjustRightInd w:val="0"/>
        <w:jc w:val="center"/>
        <w:rPr>
          <w:rFonts w:cs="Geneva"/>
          <w:color w:val="232323"/>
          <w:sz w:val="28"/>
          <w:szCs w:val="26"/>
          <w:lang w:eastAsia="es-ES_tradnl"/>
        </w:rPr>
      </w:pPr>
    </w:p>
    <w:p w:rsidR="00AD578C" w:rsidRDefault="00AD578C" w:rsidP="00AD578C">
      <w:pPr>
        <w:widowControl w:val="0"/>
        <w:autoSpaceDE w:val="0"/>
        <w:autoSpaceDN w:val="0"/>
        <w:adjustRightInd w:val="0"/>
        <w:jc w:val="center"/>
        <w:rPr>
          <w:rFonts w:cs="Geneva"/>
          <w:color w:val="232323"/>
          <w:sz w:val="28"/>
          <w:szCs w:val="26"/>
          <w:lang w:eastAsia="es-ES_tradnl"/>
        </w:rPr>
      </w:pPr>
    </w:p>
    <w:p w:rsidR="00AD578C" w:rsidRDefault="00AD578C" w:rsidP="00AD578C">
      <w:pPr>
        <w:widowControl w:val="0"/>
        <w:autoSpaceDE w:val="0"/>
        <w:autoSpaceDN w:val="0"/>
        <w:adjustRightInd w:val="0"/>
        <w:jc w:val="center"/>
        <w:rPr>
          <w:rFonts w:cs="Geneva"/>
          <w:color w:val="232323"/>
          <w:sz w:val="28"/>
          <w:szCs w:val="26"/>
          <w:lang w:eastAsia="es-ES_tradnl"/>
        </w:rPr>
      </w:pPr>
    </w:p>
    <w:p w:rsidR="00AD578C" w:rsidRDefault="00AD578C" w:rsidP="00AD578C">
      <w:pPr>
        <w:widowControl w:val="0"/>
        <w:autoSpaceDE w:val="0"/>
        <w:autoSpaceDN w:val="0"/>
        <w:adjustRightInd w:val="0"/>
        <w:jc w:val="center"/>
        <w:rPr>
          <w:rFonts w:cs="Geneva"/>
          <w:color w:val="232323"/>
          <w:sz w:val="28"/>
          <w:szCs w:val="26"/>
          <w:lang w:eastAsia="es-ES_tradnl"/>
        </w:rPr>
      </w:pPr>
    </w:p>
    <w:p w:rsidR="00AD578C" w:rsidRDefault="00AD578C" w:rsidP="00AD578C">
      <w:pPr>
        <w:widowControl w:val="0"/>
        <w:autoSpaceDE w:val="0"/>
        <w:autoSpaceDN w:val="0"/>
        <w:adjustRightInd w:val="0"/>
        <w:jc w:val="center"/>
        <w:rPr>
          <w:rFonts w:cs="Geneva"/>
          <w:color w:val="232323"/>
          <w:sz w:val="28"/>
          <w:szCs w:val="26"/>
          <w:lang w:eastAsia="es-ES_tradnl"/>
        </w:rPr>
      </w:pPr>
    </w:p>
    <w:p w:rsidR="00AD578C" w:rsidRPr="0094047F" w:rsidRDefault="00AD578C" w:rsidP="00AD578C">
      <w:pPr>
        <w:widowControl w:val="0"/>
        <w:autoSpaceDE w:val="0"/>
        <w:autoSpaceDN w:val="0"/>
        <w:adjustRightInd w:val="0"/>
        <w:jc w:val="center"/>
        <w:rPr>
          <w:rFonts w:cs="Geneva"/>
          <w:color w:val="232323"/>
          <w:sz w:val="28"/>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r>
        <w:rPr>
          <w:rFonts w:cs="Geneva"/>
          <w:color w:val="232323"/>
          <w:szCs w:val="26"/>
          <w:lang w:eastAsia="es-ES_tradnl"/>
        </w:rPr>
        <w:t xml:space="preserve">Bibliografía obligatoria Bloque I: </w:t>
      </w: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numPr>
          <w:ilvl w:val="0"/>
          <w:numId w:val="2"/>
        </w:numPr>
        <w:autoSpaceDE w:val="0"/>
        <w:autoSpaceDN w:val="0"/>
        <w:adjustRightInd w:val="0"/>
        <w:jc w:val="both"/>
        <w:rPr>
          <w:rFonts w:cs="Geneva"/>
          <w:color w:val="232323"/>
          <w:szCs w:val="26"/>
          <w:lang w:eastAsia="es-ES_tradnl"/>
        </w:rPr>
      </w:pPr>
      <w:r w:rsidRPr="007A5346">
        <w:rPr>
          <w:rFonts w:cs="Geneva"/>
          <w:color w:val="232323"/>
          <w:szCs w:val="26"/>
          <w:lang w:eastAsia="es-ES_tradnl"/>
        </w:rPr>
        <w:t>Marina J.M. (2001). Profesores para un mundo  ultramoderno</w:t>
      </w:r>
      <w:r>
        <w:rPr>
          <w:rFonts w:cs="Geneva"/>
          <w:color w:val="232323"/>
          <w:szCs w:val="26"/>
          <w:lang w:eastAsia="es-ES_tradnl"/>
        </w:rPr>
        <w:t xml:space="preserve">. Cuadernos de pedagogía, </w:t>
      </w:r>
      <w:proofErr w:type="spellStart"/>
      <w:r>
        <w:rPr>
          <w:rFonts w:cs="Geneva"/>
          <w:color w:val="232323"/>
          <w:szCs w:val="26"/>
          <w:lang w:eastAsia="es-ES_tradnl"/>
        </w:rPr>
        <w:t>nº</w:t>
      </w:r>
      <w:proofErr w:type="spellEnd"/>
      <w:r>
        <w:rPr>
          <w:rFonts w:cs="Geneva"/>
          <w:color w:val="232323"/>
          <w:szCs w:val="26"/>
          <w:lang w:eastAsia="es-ES_tradnl"/>
        </w:rPr>
        <w:t xml:space="preserve"> 304. </w:t>
      </w: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numPr>
          <w:ilvl w:val="0"/>
          <w:numId w:val="2"/>
        </w:numPr>
        <w:autoSpaceDE w:val="0"/>
        <w:autoSpaceDN w:val="0"/>
        <w:adjustRightInd w:val="0"/>
        <w:jc w:val="both"/>
        <w:rPr>
          <w:rFonts w:cs="Geneva"/>
          <w:color w:val="232323"/>
          <w:szCs w:val="26"/>
          <w:lang w:eastAsia="es-ES_tradnl"/>
        </w:rPr>
      </w:pPr>
      <w:r w:rsidRPr="007A5346">
        <w:rPr>
          <w:rFonts w:cs="Geneva"/>
          <w:color w:val="232323"/>
          <w:szCs w:val="26"/>
          <w:lang w:eastAsia="es-ES_tradnl"/>
        </w:rPr>
        <w:t xml:space="preserve">García, </w:t>
      </w:r>
      <w:proofErr w:type="spellStart"/>
      <w:r w:rsidRPr="007A5346">
        <w:rPr>
          <w:rFonts w:cs="Geneva"/>
          <w:color w:val="232323"/>
          <w:szCs w:val="26"/>
          <w:lang w:eastAsia="es-ES_tradnl"/>
        </w:rPr>
        <w:t>R.J</w:t>
      </w:r>
      <w:proofErr w:type="spellEnd"/>
      <w:r w:rsidRPr="007A5346">
        <w:rPr>
          <w:rFonts w:cs="Geneva"/>
          <w:color w:val="232323"/>
          <w:szCs w:val="26"/>
          <w:lang w:eastAsia="es-ES_tradnl"/>
        </w:rPr>
        <w:t xml:space="preserve">. Moreno, J.M. y </w:t>
      </w:r>
      <w:proofErr w:type="spellStart"/>
      <w:r w:rsidRPr="007A5346">
        <w:rPr>
          <w:rFonts w:cs="Geneva"/>
          <w:color w:val="232323"/>
          <w:szCs w:val="26"/>
          <w:lang w:eastAsia="es-ES_tradnl"/>
        </w:rPr>
        <w:t>Torrego</w:t>
      </w:r>
      <w:proofErr w:type="spellEnd"/>
      <w:r w:rsidRPr="007A5346">
        <w:rPr>
          <w:rFonts w:cs="Geneva"/>
          <w:color w:val="232323"/>
          <w:szCs w:val="26"/>
          <w:lang w:eastAsia="es-ES_tradnl"/>
        </w:rPr>
        <w:t xml:space="preserve">, J.C. (1996). Orientación y Tutoría en la Enseñanza Secundaria. Zaragoza, Editorial </w:t>
      </w:r>
      <w:proofErr w:type="spellStart"/>
      <w:r w:rsidRPr="007A5346">
        <w:rPr>
          <w:rFonts w:cs="Geneva"/>
          <w:color w:val="232323"/>
          <w:szCs w:val="26"/>
          <w:lang w:eastAsia="es-ES_tradnl"/>
        </w:rPr>
        <w:t>Edelvives</w:t>
      </w:r>
      <w:proofErr w:type="spellEnd"/>
      <w:r>
        <w:rPr>
          <w:rFonts w:cs="Geneva"/>
          <w:color w:val="232323"/>
          <w:szCs w:val="26"/>
          <w:lang w:eastAsia="es-ES_tradnl"/>
        </w:rPr>
        <w:t>.</w:t>
      </w:r>
    </w:p>
    <w:p w:rsidR="00AD578C" w:rsidRPr="007A5346"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numPr>
          <w:ilvl w:val="0"/>
          <w:numId w:val="2"/>
        </w:numPr>
        <w:autoSpaceDE w:val="0"/>
        <w:autoSpaceDN w:val="0"/>
        <w:adjustRightInd w:val="0"/>
        <w:jc w:val="both"/>
        <w:rPr>
          <w:rFonts w:cs="Geneva"/>
          <w:color w:val="232323"/>
          <w:szCs w:val="26"/>
          <w:lang w:eastAsia="es-ES_tradnl"/>
        </w:rPr>
      </w:pPr>
      <w:proofErr w:type="spellStart"/>
      <w:r>
        <w:rPr>
          <w:rFonts w:cs="Geneva"/>
          <w:color w:val="232323"/>
          <w:szCs w:val="26"/>
          <w:lang w:eastAsia="es-ES_tradnl"/>
        </w:rPr>
        <w:t>Torrego</w:t>
      </w:r>
      <w:proofErr w:type="spellEnd"/>
      <w:r w:rsidRPr="007A5346">
        <w:rPr>
          <w:rFonts w:cs="Geneva"/>
          <w:color w:val="232323"/>
          <w:szCs w:val="26"/>
          <w:lang w:eastAsia="es-ES_tradnl"/>
        </w:rPr>
        <w:t xml:space="preserve"> JC., (2008). El profesor como gestor del aula. En </w:t>
      </w:r>
      <w:proofErr w:type="spellStart"/>
      <w:r w:rsidRPr="007A5346">
        <w:rPr>
          <w:rFonts w:cs="Geneva"/>
          <w:color w:val="232323"/>
          <w:szCs w:val="26"/>
          <w:lang w:eastAsia="es-ES_tradnl"/>
        </w:rPr>
        <w:t>Herrán</w:t>
      </w:r>
      <w:proofErr w:type="spellEnd"/>
      <w:r w:rsidRPr="007A5346">
        <w:rPr>
          <w:rFonts w:cs="Geneva"/>
          <w:color w:val="232323"/>
          <w:szCs w:val="26"/>
          <w:lang w:eastAsia="es-ES_tradnl"/>
        </w:rPr>
        <w:t xml:space="preserve"> A., y Paredes J., (coord.) Didáctica General. La práctica de la enseñanza en Educación infantil, Primaria y Secundaria. España.</w:t>
      </w:r>
    </w:p>
    <w:p w:rsidR="00AD578C" w:rsidRPr="007A5346"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numPr>
          <w:ilvl w:val="0"/>
          <w:numId w:val="2"/>
        </w:numPr>
        <w:autoSpaceDE w:val="0"/>
        <w:autoSpaceDN w:val="0"/>
        <w:adjustRightInd w:val="0"/>
        <w:jc w:val="both"/>
        <w:rPr>
          <w:rFonts w:cs="Geneva"/>
          <w:color w:val="232323"/>
          <w:szCs w:val="26"/>
          <w:lang w:eastAsia="es-ES_tradnl"/>
        </w:rPr>
      </w:pPr>
      <w:r>
        <w:rPr>
          <w:rFonts w:cs="Geneva"/>
          <w:color w:val="232323"/>
          <w:szCs w:val="26"/>
          <w:lang w:eastAsia="es-ES_tradnl"/>
        </w:rPr>
        <w:t xml:space="preserve">Material bibliográfico contenido en la página </w:t>
      </w:r>
      <w:proofErr w:type="spellStart"/>
      <w:r>
        <w:rPr>
          <w:rFonts w:cs="Geneva"/>
          <w:color w:val="232323"/>
          <w:szCs w:val="26"/>
          <w:lang w:eastAsia="es-ES_tradnl"/>
        </w:rPr>
        <w:t>web</w:t>
      </w:r>
      <w:proofErr w:type="spellEnd"/>
      <w:r>
        <w:rPr>
          <w:rFonts w:cs="Geneva"/>
          <w:color w:val="232323"/>
          <w:szCs w:val="26"/>
          <w:lang w:eastAsia="es-ES_tradnl"/>
        </w:rPr>
        <w:t xml:space="preserve">: Educar es transformar. </w:t>
      </w:r>
    </w:p>
    <w:p w:rsidR="00AD578C" w:rsidRDefault="00AD578C" w:rsidP="00AD578C">
      <w:pPr>
        <w:widowControl w:val="0"/>
        <w:autoSpaceDE w:val="0"/>
        <w:autoSpaceDN w:val="0"/>
        <w:adjustRightInd w:val="0"/>
        <w:jc w:val="both"/>
        <w:rPr>
          <w:rFonts w:cs="Geneva"/>
          <w:color w:val="232323"/>
          <w:szCs w:val="26"/>
          <w:lang w:eastAsia="es-ES_tradnl"/>
        </w:rPr>
      </w:pPr>
      <w:r>
        <w:rPr>
          <w:rFonts w:cs="Geneva"/>
          <w:color w:val="232323"/>
          <w:szCs w:val="26"/>
          <w:lang w:eastAsia="es-ES_tradnl"/>
        </w:rPr>
        <w:t xml:space="preserve">Link: </w:t>
      </w:r>
      <w:r w:rsidRPr="00502C5E">
        <w:rPr>
          <w:rFonts w:cs="Geneva"/>
          <w:color w:val="232323"/>
          <w:szCs w:val="26"/>
          <w:lang w:eastAsia="es-ES_tradnl"/>
        </w:rPr>
        <w:t>http://kazolas.wix.com/educaytransforma#!bibliografia-bloque-i/ct7f</w:t>
      </w: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r>
        <w:rPr>
          <w:rFonts w:cs="Geneva"/>
          <w:color w:val="232323"/>
          <w:szCs w:val="26"/>
          <w:lang w:eastAsia="es-ES_tradnl"/>
        </w:rPr>
        <w:t>Bibliografía complementaria Bloque I:</w:t>
      </w:r>
    </w:p>
    <w:p w:rsidR="00AD578C" w:rsidRPr="00F04A86"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pStyle w:val="NormalWeb"/>
        <w:numPr>
          <w:ilvl w:val="0"/>
          <w:numId w:val="1"/>
        </w:numPr>
        <w:spacing w:before="2" w:after="2"/>
        <w:jc w:val="both"/>
        <w:rPr>
          <w:rFonts w:ascii="Cambria" w:hAnsi="Cambria"/>
          <w:sz w:val="24"/>
          <w:szCs w:val="24"/>
        </w:rPr>
      </w:pPr>
      <w:proofErr w:type="spellStart"/>
      <w:r w:rsidRPr="00F04A86">
        <w:rPr>
          <w:rFonts w:ascii="Cambria" w:hAnsi="Cambria"/>
          <w:sz w:val="24"/>
          <w:szCs w:val="24"/>
        </w:rPr>
        <w:t>Crispín</w:t>
      </w:r>
      <w:proofErr w:type="spellEnd"/>
      <w:r w:rsidRPr="00F04A86">
        <w:rPr>
          <w:rFonts w:ascii="Cambria" w:hAnsi="Cambria"/>
          <w:sz w:val="24"/>
          <w:szCs w:val="24"/>
        </w:rPr>
        <w:t xml:space="preserve"> Bernardo, </w:t>
      </w:r>
      <w:proofErr w:type="spellStart"/>
      <w:r w:rsidRPr="00F04A86">
        <w:rPr>
          <w:rFonts w:ascii="Cambria" w:hAnsi="Cambria"/>
          <w:sz w:val="24"/>
          <w:szCs w:val="24"/>
        </w:rPr>
        <w:t>María</w:t>
      </w:r>
      <w:proofErr w:type="spellEnd"/>
      <w:r w:rsidRPr="00F04A86">
        <w:rPr>
          <w:rFonts w:ascii="Cambria" w:hAnsi="Cambria"/>
          <w:sz w:val="24"/>
          <w:szCs w:val="24"/>
        </w:rPr>
        <w:t xml:space="preserve"> Luisa (Coord.) (2011). Aprendizaje autónomo: orientaciones para la docencia. Universidad Iberoamericana. Ciudad de México.</w:t>
      </w:r>
    </w:p>
    <w:p w:rsidR="00AD578C" w:rsidRDefault="00AD578C" w:rsidP="00AD578C">
      <w:pPr>
        <w:pStyle w:val="NormalWeb"/>
        <w:spacing w:before="2" w:after="2"/>
        <w:ind w:left="720"/>
        <w:jc w:val="both"/>
        <w:rPr>
          <w:rFonts w:ascii="Cambria" w:hAnsi="Cambria"/>
          <w:sz w:val="24"/>
          <w:szCs w:val="24"/>
        </w:rPr>
      </w:pPr>
    </w:p>
    <w:p w:rsidR="00AD578C" w:rsidRPr="00A97690" w:rsidRDefault="00AD578C" w:rsidP="00AD578C">
      <w:pPr>
        <w:pStyle w:val="NormalWeb"/>
        <w:numPr>
          <w:ilvl w:val="0"/>
          <w:numId w:val="1"/>
        </w:numPr>
        <w:spacing w:before="2" w:after="2"/>
        <w:jc w:val="both"/>
        <w:rPr>
          <w:rFonts w:ascii="Cambria" w:hAnsi="Cambria"/>
          <w:sz w:val="24"/>
          <w:szCs w:val="24"/>
        </w:rPr>
      </w:pPr>
      <w:r w:rsidRPr="00A97690">
        <w:rPr>
          <w:rFonts w:ascii="Cambria" w:hAnsi="Cambria" w:cs="Arial"/>
          <w:bCs/>
          <w:sz w:val="24"/>
          <w:szCs w:val="26"/>
        </w:rPr>
        <w:t xml:space="preserve">Cortina y </w:t>
      </w:r>
      <w:proofErr w:type="spellStart"/>
      <w:r w:rsidRPr="00A97690">
        <w:rPr>
          <w:rFonts w:ascii="Cambria" w:hAnsi="Cambria" w:cs="Arial"/>
          <w:bCs/>
          <w:sz w:val="24"/>
          <w:szCs w:val="26"/>
        </w:rPr>
        <w:t>Conill</w:t>
      </w:r>
      <w:proofErr w:type="spellEnd"/>
      <w:r w:rsidRPr="00A97690">
        <w:rPr>
          <w:rFonts w:ascii="Cambria" w:hAnsi="Cambria" w:cs="Arial"/>
          <w:bCs/>
          <w:sz w:val="24"/>
          <w:szCs w:val="26"/>
        </w:rPr>
        <w:t>, Jesús</w:t>
      </w:r>
      <w:r w:rsidRPr="00A97690">
        <w:rPr>
          <w:rFonts w:ascii="Cambria" w:hAnsi="Cambria" w:cs="Arial"/>
          <w:b/>
          <w:bCs/>
          <w:sz w:val="24"/>
          <w:szCs w:val="26"/>
        </w:rPr>
        <w:t xml:space="preserve"> </w:t>
      </w:r>
      <w:r w:rsidRPr="00A97690">
        <w:rPr>
          <w:rFonts w:ascii="Cambria" w:hAnsi="Cambria" w:cs="Arial"/>
          <w:sz w:val="24"/>
          <w:szCs w:val="26"/>
        </w:rPr>
        <w:t>(1998). Democracia participativa y sociedad civil: Una ética empresarial. Fundación Social. Colombia.</w:t>
      </w:r>
    </w:p>
    <w:p w:rsidR="00AD578C" w:rsidRPr="00F04A86" w:rsidRDefault="00AD578C" w:rsidP="00AD578C">
      <w:pPr>
        <w:pStyle w:val="NormalWeb"/>
        <w:spacing w:before="2" w:after="2"/>
        <w:ind w:left="720"/>
        <w:jc w:val="both"/>
        <w:rPr>
          <w:rFonts w:ascii="Cambria" w:hAnsi="Cambria"/>
          <w:sz w:val="24"/>
        </w:rPr>
      </w:pPr>
    </w:p>
    <w:p w:rsidR="00AD578C" w:rsidRPr="00F04A86" w:rsidRDefault="00AD578C" w:rsidP="00AD578C">
      <w:pPr>
        <w:pStyle w:val="NormalWeb"/>
        <w:numPr>
          <w:ilvl w:val="0"/>
          <w:numId w:val="1"/>
        </w:numPr>
        <w:spacing w:before="2" w:after="2"/>
        <w:jc w:val="both"/>
        <w:rPr>
          <w:rFonts w:ascii="Cambria" w:hAnsi="Cambria"/>
          <w:sz w:val="24"/>
        </w:rPr>
      </w:pPr>
      <w:r w:rsidRPr="00F04A86">
        <w:rPr>
          <w:rFonts w:ascii="Cambria" w:hAnsi="Cambria" w:cs="Geneva"/>
          <w:color w:val="232323"/>
          <w:sz w:val="24"/>
          <w:szCs w:val="26"/>
        </w:rPr>
        <w:t>Morin Edgard (1999).  Los siete saberes necesarios para la educación del futuro. UNESCO.</w:t>
      </w:r>
    </w:p>
    <w:p w:rsidR="00AD578C" w:rsidRDefault="00AD578C" w:rsidP="00AD578C">
      <w:pPr>
        <w:pStyle w:val="NormalWeb"/>
        <w:spacing w:before="2" w:after="2"/>
        <w:jc w:val="both"/>
        <w:rPr>
          <w:rFonts w:ascii="Cambria" w:hAnsi="Cambria"/>
          <w:sz w:val="24"/>
        </w:rPr>
      </w:pPr>
    </w:p>
    <w:p w:rsidR="00AD578C" w:rsidRDefault="00AD578C" w:rsidP="00AD578C">
      <w:pPr>
        <w:pStyle w:val="NormalWeb"/>
        <w:numPr>
          <w:ilvl w:val="0"/>
          <w:numId w:val="1"/>
        </w:numPr>
        <w:spacing w:before="2" w:after="2"/>
        <w:jc w:val="both"/>
        <w:rPr>
          <w:rFonts w:ascii="Cambria" w:hAnsi="Cambria"/>
          <w:sz w:val="24"/>
        </w:rPr>
      </w:pPr>
      <w:proofErr w:type="spellStart"/>
      <w:r w:rsidRPr="00F04A86">
        <w:rPr>
          <w:rFonts w:ascii="Cambria" w:hAnsi="Cambria"/>
          <w:sz w:val="24"/>
          <w:szCs w:val="22"/>
        </w:rPr>
        <w:t>Pérez</w:t>
      </w:r>
      <w:proofErr w:type="spellEnd"/>
      <w:r w:rsidRPr="00F04A86">
        <w:rPr>
          <w:rFonts w:ascii="Cambria" w:hAnsi="Cambria"/>
          <w:sz w:val="24"/>
          <w:szCs w:val="22"/>
        </w:rPr>
        <w:t>-</w:t>
      </w:r>
      <w:proofErr w:type="spellStart"/>
      <w:r w:rsidRPr="00F04A86">
        <w:rPr>
          <w:rFonts w:ascii="Cambria" w:hAnsi="Cambria"/>
          <w:sz w:val="24"/>
          <w:szCs w:val="22"/>
        </w:rPr>
        <w:t>Gómez</w:t>
      </w:r>
      <w:proofErr w:type="spellEnd"/>
      <w:r w:rsidRPr="00F04A86">
        <w:rPr>
          <w:rFonts w:ascii="Cambria" w:hAnsi="Cambria"/>
          <w:sz w:val="24"/>
          <w:szCs w:val="22"/>
        </w:rPr>
        <w:t xml:space="preserve">, </w:t>
      </w:r>
      <w:proofErr w:type="spellStart"/>
      <w:r w:rsidRPr="00F04A86">
        <w:rPr>
          <w:rFonts w:ascii="Cambria" w:hAnsi="Cambria"/>
          <w:sz w:val="24"/>
          <w:szCs w:val="22"/>
        </w:rPr>
        <w:t>Angel</w:t>
      </w:r>
      <w:proofErr w:type="spellEnd"/>
      <w:r w:rsidRPr="00F04A86">
        <w:rPr>
          <w:rFonts w:ascii="Cambria" w:hAnsi="Cambria"/>
          <w:sz w:val="24"/>
          <w:szCs w:val="22"/>
        </w:rPr>
        <w:t xml:space="preserve">. (1999). </w:t>
      </w:r>
      <w:r w:rsidRPr="00F04A86">
        <w:rPr>
          <w:rFonts w:ascii="Cambria" w:hAnsi="Cambria"/>
          <w:bCs/>
          <w:sz w:val="24"/>
          <w:szCs w:val="22"/>
        </w:rPr>
        <w:t>La cultura escolar en la sociedad neoliberal</w:t>
      </w:r>
      <w:r w:rsidRPr="00F04A86">
        <w:rPr>
          <w:rFonts w:ascii="Cambria" w:hAnsi="Cambria"/>
          <w:sz w:val="24"/>
          <w:szCs w:val="22"/>
        </w:rPr>
        <w:t xml:space="preserve">. </w:t>
      </w:r>
      <w:proofErr w:type="spellStart"/>
      <w:r w:rsidRPr="00F04A86">
        <w:rPr>
          <w:rFonts w:ascii="Cambria" w:hAnsi="Cambria"/>
          <w:sz w:val="24"/>
          <w:szCs w:val="22"/>
        </w:rPr>
        <w:t>España</w:t>
      </w:r>
      <w:proofErr w:type="spellEnd"/>
      <w:r w:rsidRPr="00F04A86">
        <w:rPr>
          <w:rFonts w:ascii="Cambria" w:hAnsi="Cambria"/>
          <w:sz w:val="24"/>
          <w:szCs w:val="22"/>
        </w:rPr>
        <w:t>: Editorial Mora</w:t>
      </w:r>
      <w:r>
        <w:rPr>
          <w:rFonts w:ascii="Cambria" w:hAnsi="Cambria"/>
          <w:sz w:val="24"/>
          <w:szCs w:val="22"/>
        </w:rPr>
        <w:t>ta.</w:t>
      </w:r>
    </w:p>
    <w:p w:rsidR="00AD578C" w:rsidRDefault="00AD578C" w:rsidP="00AD578C">
      <w:pPr>
        <w:pStyle w:val="NormalWeb"/>
        <w:spacing w:before="2" w:after="2"/>
        <w:jc w:val="both"/>
        <w:rPr>
          <w:rFonts w:ascii="Cambria" w:hAnsi="Cambria"/>
          <w:sz w:val="24"/>
        </w:rPr>
      </w:pPr>
    </w:p>
    <w:p w:rsidR="00AD578C" w:rsidRDefault="00AD578C" w:rsidP="00AD578C">
      <w:pPr>
        <w:pStyle w:val="NormalWeb"/>
        <w:numPr>
          <w:ilvl w:val="0"/>
          <w:numId w:val="1"/>
        </w:numPr>
        <w:spacing w:before="2" w:after="2"/>
        <w:jc w:val="both"/>
        <w:rPr>
          <w:rFonts w:ascii="Cambria" w:hAnsi="Cambria"/>
          <w:sz w:val="24"/>
        </w:rPr>
      </w:pPr>
      <w:r w:rsidRPr="00556627">
        <w:rPr>
          <w:rFonts w:ascii="Cambria" w:hAnsi="Cambria"/>
          <w:sz w:val="24"/>
          <w:szCs w:val="22"/>
        </w:rPr>
        <w:t>Romero, Clara. (2006</w:t>
      </w:r>
      <w:r w:rsidRPr="00556627">
        <w:rPr>
          <w:rFonts w:ascii="Cambria" w:hAnsi="Cambria"/>
          <w:i/>
          <w:iCs/>
          <w:sz w:val="24"/>
          <w:szCs w:val="22"/>
        </w:rPr>
        <w:t xml:space="preserve">). </w:t>
      </w:r>
      <w:r w:rsidRPr="00556627">
        <w:rPr>
          <w:rFonts w:ascii="Cambria" w:hAnsi="Cambria"/>
          <w:bCs/>
          <w:sz w:val="24"/>
          <w:szCs w:val="22"/>
        </w:rPr>
        <w:t xml:space="preserve">Paradigma de la complejidad, modelos </w:t>
      </w:r>
      <w:proofErr w:type="spellStart"/>
      <w:r w:rsidRPr="00556627">
        <w:rPr>
          <w:rFonts w:ascii="Cambria" w:hAnsi="Cambria"/>
          <w:bCs/>
          <w:sz w:val="24"/>
          <w:szCs w:val="22"/>
        </w:rPr>
        <w:t>científicos</w:t>
      </w:r>
      <w:proofErr w:type="spellEnd"/>
      <w:r w:rsidRPr="00556627">
        <w:rPr>
          <w:rFonts w:ascii="Cambria" w:hAnsi="Cambria"/>
          <w:bCs/>
          <w:sz w:val="24"/>
          <w:szCs w:val="22"/>
        </w:rPr>
        <w:t xml:space="preserve"> y conocimiento educativo</w:t>
      </w:r>
      <w:r w:rsidRPr="00556627">
        <w:rPr>
          <w:rFonts w:ascii="Cambria" w:hAnsi="Cambria"/>
          <w:sz w:val="24"/>
          <w:szCs w:val="22"/>
        </w:rPr>
        <w:t xml:space="preserve">. </w:t>
      </w:r>
    </w:p>
    <w:p w:rsidR="00AD578C" w:rsidRDefault="00AD578C" w:rsidP="00AD578C">
      <w:pPr>
        <w:pStyle w:val="NormalWeb"/>
        <w:spacing w:before="2" w:after="2"/>
        <w:jc w:val="both"/>
        <w:rPr>
          <w:rFonts w:ascii="Cambria" w:hAnsi="Cambria"/>
          <w:sz w:val="24"/>
        </w:rPr>
      </w:pPr>
    </w:p>
    <w:p w:rsidR="00AD578C" w:rsidRDefault="00AD578C" w:rsidP="00AD578C">
      <w:pPr>
        <w:pStyle w:val="NormalWeb"/>
        <w:numPr>
          <w:ilvl w:val="0"/>
          <w:numId w:val="1"/>
        </w:numPr>
        <w:spacing w:before="2" w:after="2"/>
        <w:jc w:val="both"/>
        <w:rPr>
          <w:rFonts w:ascii="Cambria" w:hAnsi="Cambria"/>
          <w:sz w:val="24"/>
        </w:rPr>
      </w:pPr>
      <w:r>
        <w:rPr>
          <w:rFonts w:ascii="Cambria" w:hAnsi="Cambria"/>
          <w:sz w:val="24"/>
        </w:rPr>
        <w:t xml:space="preserve">Revista electrónica: “Actualidades investigativas en educación”. Volumen 8, </w:t>
      </w:r>
      <w:proofErr w:type="spellStart"/>
      <w:r>
        <w:rPr>
          <w:rFonts w:ascii="Cambria" w:hAnsi="Cambria"/>
          <w:sz w:val="24"/>
        </w:rPr>
        <w:t>Nº1</w:t>
      </w:r>
      <w:proofErr w:type="spellEnd"/>
      <w:r>
        <w:rPr>
          <w:rFonts w:ascii="Cambria" w:hAnsi="Cambria"/>
          <w:sz w:val="24"/>
        </w:rPr>
        <w:t xml:space="preserve"> , año 2008.  (</w:t>
      </w:r>
      <w:hyperlink r:id="rId23" w:history="1">
        <w:r w:rsidRPr="00D6292F">
          <w:rPr>
            <w:rStyle w:val="Hipervnculo"/>
          </w:rPr>
          <w:t>http://www.latindex.ucr.ac.cr/aie005.php</w:t>
        </w:r>
      </w:hyperlink>
      <w:r>
        <w:rPr>
          <w:rFonts w:ascii="Cambria" w:hAnsi="Cambria"/>
          <w:sz w:val="24"/>
        </w:rPr>
        <w:t xml:space="preserve">) </w:t>
      </w:r>
    </w:p>
    <w:p w:rsidR="00AD578C" w:rsidRDefault="00AD578C" w:rsidP="00AD578C">
      <w:pPr>
        <w:pStyle w:val="NormalWeb"/>
        <w:spacing w:before="2" w:after="2"/>
        <w:jc w:val="both"/>
        <w:rPr>
          <w:rFonts w:cs="Arial"/>
          <w:bCs/>
          <w:szCs w:val="26"/>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D578C" w:rsidRDefault="00AD578C" w:rsidP="00AD578C">
      <w:pPr>
        <w:widowControl w:val="0"/>
        <w:autoSpaceDE w:val="0"/>
        <w:autoSpaceDN w:val="0"/>
        <w:adjustRightInd w:val="0"/>
        <w:jc w:val="both"/>
        <w:rPr>
          <w:rFonts w:cs="Geneva"/>
          <w:color w:val="232323"/>
          <w:szCs w:val="26"/>
          <w:lang w:eastAsia="es-ES_tradnl"/>
        </w:rPr>
      </w:pPr>
    </w:p>
    <w:p w:rsidR="00A50C08" w:rsidRDefault="00AD578C"/>
    <w:sectPr w:rsidR="00A50C08" w:rsidSect="00AD578C">
      <w:pgSz w:w="12240" w:h="15840"/>
      <w:pgMar w:top="1276" w:right="1701" w:bottom="1276" w:left="1701"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EPLGDD+TimesNewRoman">
    <w:altName w:val="Times New Roman"/>
    <w:panose1 w:val="00000000000000000000"/>
    <w:charset w:val="00"/>
    <w:family w:val="roman"/>
    <w:notTrueType/>
    <w:pitch w:val="default"/>
    <w:sig w:usb0="00000003" w:usb1="00000000" w:usb2="00000000" w:usb3="00000000" w:csb0="00000001" w:csb1="00000000"/>
  </w:font>
  <w:font w:name="Geneva">
    <w:panose1 w:val="020B050303040404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Microsoft Sans Serif">
    <w:panose1 w:val="020B060402020202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E84881"/>
    <w:multiLevelType w:val="hybridMultilevel"/>
    <w:tmpl w:val="956261A2"/>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
    <w:nsid w:val="0EC12ABB"/>
    <w:multiLevelType w:val="hybridMultilevel"/>
    <w:tmpl w:val="D6B8D374"/>
    <w:lvl w:ilvl="0" w:tplc="040A0001">
      <w:start w:val="1"/>
      <w:numFmt w:val="bullet"/>
      <w:lvlText w:val=""/>
      <w:lvlJc w:val="left"/>
      <w:pPr>
        <w:ind w:left="1429" w:hanging="360"/>
      </w:pPr>
      <w:rPr>
        <w:rFonts w:ascii="Symbol" w:hAnsi="Symbol" w:hint="default"/>
      </w:rPr>
    </w:lvl>
    <w:lvl w:ilvl="1" w:tplc="040A0003" w:tentative="1">
      <w:start w:val="1"/>
      <w:numFmt w:val="bullet"/>
      <w:lvlText w:val="o"/>
      <w:lvlJc w:val="left"/>
      <w:pPr>
        <w:ind w:left="2149" w:hanging="360"/>
      </w:pPr>
      <w:rPr>
        <w:rFonts w:ascii="Courier New" w:hAnsi="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2">
    <w:nsid w:val="109D775B"/>
    <w:multiLevelType w:val="hybridMultilevel"/>
    <w:tmpl w:val="28B4EF8E"/>
    <w:lvl w:ilvl="0" w:tplc="2D9E8DDA">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
    <w:nsid w:val="18D97304"/>
    <w:multiLevelType w:val="hybridMultilevel"/>
    <w:tmpl w:val="D99AA4B4"/>
    <w:lvl w:ilvl="0" w:tplc="040A0001">
      <w:start w:val="1"/>
      <w:numFmt w:val="bullet"/>
      <w:lvlText w:val=""/>
      <w:lvlJc w:val="left"/>
      <w:pPr>
        <w:ind w:left="1494" w:hanging="360"/>
      </w:pPr>
      <w:rPr>
        <w:rFonts w:ascii="Symbol" w:hAnsi="Symbol" w:hint="default"/>
      </w:rPr>
    </w:lvl>
    <w:lvl w:ilvl="1" w:tplc="7F149202">
      <w:numFmt w:val="bullet"/>
      <w:lvlText w:val=""/>
      <w:lvlJc w:val="left"/>
      <w:pPr>
        <w:ind w:left="2214" w:hanging="360"/>
      </w:pPr>
      <w:rPr>
        <w:rFonts w:ascii="Symbol" w:hAnsi="Symbol" w:hint="default"/>
      </w:rPr>
    </w:lvl>
    <w:lvl w:ilvl="2" w:tplc="040A0005" w:tentative="1">
      <w:start w:val="1"/>
      <w:numFmt w:val="bullet"/>
      <w:lvlText w:val=""/>
      <w:lvlJc w:val="left"/>
      <w:pPr>
        <w:ind w:left="2934" w:hanging="360"/>
      </w:pPr>
      <w:rPr>
        <w:rFonts w:ascii="Wingdings" w:hAnsi="Wingdings" w:hint="default"/>
      </w:rPr>
    </w:lvl>
    <w:lvl w:ilvl="3" w:tplc="040A0001" w:tentative="1">
      <w:start w:val="1"/>
      <w:numFmt w:val="bullet"/>
      <w:lvlText w:val=""/>
      <w:lvlJc w:val="left"/>
      <w:pPr>
        <w:ind w:left="3654" w:hanging="360"/>
      </w:pPr>
      <w:rPr>
        <w:rFonts w:ascii="Symbol" w:hAnsi="Symbol" w:hint="default"/>
      </w:rPr>
    </w:lvl>
    <w:lvl w:ilvl="4" w:tplc="040A0003" w:tentative="1">
      <w:start w:val="1"/>
      <w:numFmt w:val="bullet"/>
      <w:lvlText w:val="o"/>
      <w:lvlJc w:val="left"/>
      <w:pPr>
        <w:ind w:left="4374" w:hanging="360"/>
      </w:pPr>
      <w:rPr>
        <w:rFonts w:ascii="Courier New" w:hAnsi="Courier New" w:hint="default"/>
      </w:rPr>
    </w:lvl>
    <w:lvl w:ilvl="5" w:tplc="040A0005" w:tentative="1">
      <w:start w:val="1"/>
      <w:numFmt w:val="bullet"/>
      <w:lvlText w:val=""/>
      <w:lvlJc w:val="left"/>
      <w:pPr>
        <w:ind w:left="5094" w:hanging="360"/>
      </w:pPr>
      <w:rPr>
        <w:rFonts w:ascii="Wingdings" w:hAnsi="Wingdings" w:hint="default"/>
      </w:rPr>
    </w:lvl>
    <w:lvl w:ilvl="6" w:tplc="040A0001" w:tentative="1">
      <w:start w:val="1"/>
      <w:numFmt w:val="bullet"/>
      <w:lvlText w:val=""/>
      <w:lvlJc w:val="left"/>
      <w:pPr>
        <w:ind w:left="5814" w:hanging="360"/>
      </w:pPr>
      <w:rPr>
        <w:rFonts w:ascii="Symbol" w:hAnsi="Symbol" w:hint="default"/>
      </w:rPr>
    </w:lvl>
    <w:lvl w:ilvl="7" w:tplc="040A0003" w:tentative="1">
      <w:start w:val="1"/>
      <w:numFmt w:val="bullet"/>
      <w:lvlText w:val="o"/>
      <w:lvlJc w:val="left"/>
      <w:pPr>
        <w:ind w:left="6534" w:hanging="360"/>
      </w:pPr>
      <w:rPr>
        <w:rFonts w:ascii="Courier New" w:hAnsi="Courier New" w:hint="default"/>
      </w:rPr>
    </w:lvl>
    <w:lvl w:ilvl="8" w:tplc="040A0005" w:tentative="1">
      <w:start w:val="1"/>
      <w:numFmt w:val="bullet"/>
      <w:lvlText w:val=""/>
      <w:lvlJc w:val="left"/>
      <w:pPr>
        <w:ind w:left="7254" w:hanging="360"/>
      </w:pPr>
      <w:rPr>
        <w:rFonts w:ascii="Wingdings" w:hAnsi="Wingdings" w:hint="default"/>
      </w:rPr>
    </w:lvl>
  </w:abstractNum>
  <w:abstractNum w:abstractNumId="4">
    <w:nsid w:val="604576A9"/>
    <w:multiLevelType w:val="hybridMultilevel"/>
    <w:tmpl w:val="1320396C"/>
    <w:lvl w:ilvl="0" w:tplc="2D9E8DDA">
      <w:start w:val="1"/>
      <w:numFmt w:val="bullet"/>
      <w:lvlText w:val=""/>
      <w:lvlJc w:val="left"/>
      <w:pPr>
        <w:ind w:left="1134" w:hanging="360"/>
      </w:pPr>
      <w:rPr>
        <w:rFonts w:ascii="Symbol" w:hAnsi="Symbol" w:hint="default"/>
      </w:rPr>
    </w:lvl>
    <w:lvl w:ilvl="1" w:tplc="040A0003" w:tentative="1">
      <w:start w:val="1"/>
      <w:numFmt w:val="bullet"/>
      <w:lvlText w:val="o"/>
      <w:lvlJc w:val="left"/>
      <w:pPr>
        <w:ind w:left="1494" w:hanging="360"/>
      </w:pPr>
      <w:rPr>
        <w:rFonts w:ascii="Courier New" w:hAnsi="Courier New" w:hint="default"/>
      </w:rPr>
    </w:lvl>
    <w:lvl w:ilvl="2" w:tplc="040A0005" w:tentative="1">
      <w:start w:val="1"/>
      <w:numFmt w:val="bullet"/>
      <w:lvlText w:val=""/>
      <w:lvlJc w:val="left"/>
      <w:pPr>
        <w:ind w:left="2214" w:hanging="360"/>
      </w:pPr>
      <w:rPr>
        <w:rFonts w:ascii="Wingdings" w:hAnsi="Wingdings" w:hint="default"/>
      </w:rPr>
    </w:lvl>
    <w:lvl w:ilvl="3" w:tplc="040A0001" w:tentative="1">
      <w:start w:val="1"/>
      <w:numFmt w:val="bullet"/>
      <w:lvlText w:val=""/>
      <w:lvlJc w:val="left"/>
      <w:pPr>
        <w:ind w:left="2934" w:hanging="360"/>
      </w:pPr>
      <w:rPr>
        <w:rFonts w:ascii="Symbol" w:hAnsi="Symbol" w:hint="default"/>
      </w:rPr>
    </w:lvl>
    <w:lvl w:ilvl="4" w:tplc="040A0003" w:tentative="1">
      <w:start w:val="1"/>
      <w:numFmt w:val="bullet"/>
      <w:lvlText w:val="o"/>
      <w:lvlJc w:val="left"/>
      <w:pPr>
        <w:ind w:left="3654" w:hanging="360"/>
      </w:pPr>
      <w:rPr>
        <w:rFonts w:ascii="Courier New" w:hAnsi="Courier New" w:hint="default"/>
      </w:rPr>
    </w:lvl>
    <w:lvl w:ilvl="5" w:tplc="040A0005" w:tentative="1">
      <w:start w:val="1"/>
      <w:numFmt w:val="bullet"/>
      <w:lvlText w:val=""/>
      <w:lvlJc w:val="left"/>
      <w:pPr>
        <w:ind w:left="4374" w:hanging="360"/>
      </w:pPr>
      <w:rPr>
        <w:rFonts w:ascii="Wingdings" w:hAnsi="Wingdings" w:hint="default"/>
      </w:rPr>
    </w:lvl>
    <w:lvl w:ilvl="6" w:tplc="040A0001" w:tentative="1">
      <w:start w:val="1"/>
      <w:numFmt w:val="bullet"/>
      <w:lvlText w:val=""/>
      <w:lvlJc w:val="left"/>
      <w:pPr>
        <w:ind w:left="5094" w:hanging="360"/>
      </w:pPr>
      <w:rPr>
        <w:rFonts w:ascii="Symbol" w:hAnsi="Symbol" w:hint="default"/>
      </w:rPr>
    </w:lvl>
    <w:lvl w:ilvl="7" w:tplc="040A0003" w:tentative="1">
      <w:start w:val="1"/>
      <w:numFmt w:val="bullet"/>
      <w:lvlText w:val="o"/>
      <w:lvlJc w:val="left"/>
      <w:pPr>
        <w:ind w:left="5814" w:hanging="360"/>
      </w:pPr>
      <w:rPr>
        <w:rFonts w:ascii="Courier New" w:hAnsi="Courier New" w:hint="default"/>
      </w:rPr>
    </w:lvl>
    <w:lvl w:ilvl="8" w:tplc="040A0005" w:tentative="1">
      <w:start w:val="1"/>
      <w:numFmt w:val="bullet"/>
      <w:lvlText w:val=""/>
      <w:lvlJc w:val="left"/>
      <w:pPr>
        <w:ind w:left="6534" w:hanging="360"/>
      </w:pPr>
      <w:rPr>
        <w:rFonts w:ascii="Wingdings" w:hAnsi="Wingdings" w:hint="default"/>
      </w:rPr>
    </w:lvl>
  </w:abstractNum>
  <w:abstractNum w:abstractNumId="5">
    <w:nsid w:val="75FF0B37"/>
    <w:multiLevelType w:val="hybridMultilevel"/>
    <w:tmpl w:val="FD486EC2"/>
    <w:lvl w:ilvl="0" w:tplc="2D9E8DDA">
      <w:start w:val="1"/>
      <w:numFmt w:val="bullet"/>
      <w:lvlText w:val=""/>
      <w:lvlJc w:val="left"/>
      <w:pPr>
        <w:ind w:left="108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nsid w:val="76A84D65"/>
    <w:multiLevelType w:val="hybridMultilevel"/>
    <w:tmpl w:val="89309D7E"/>
    <w:lvl w:ilvl="0" w:tplc="1E68FCE0">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4"/>
  </w:num>
  <w:num w:numId="5">
    <w:abstractNumId w:val="3"/>
  </w:num>
  <w:num w:numId="6">
    <w:abstractNumId w:val="0"/>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7"/>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AD578C"/>
    <w:rsid w:val="00AD578C"/>
  </w:rsids>
  <m:mathPr>
    <m:mathFont m:val="Wingdings 2"/>
    <m:brkBin m:val="before"/>
    <m:brkBinSub m:val="--"/>
    <m:smallFrac m:val="off"/>
    <m:dispDef m:val="off"/>
    <m:lMargin m:val="0"/>
    <m:rMargin m:val="0"/>
    <m:wrapRight/>
    <m:intLim m:val="subSup"/>
    <m:naryLim m:val="subSup"/>
  </m:mathPr>
  <w:themeFontLang w:val="es-ES_trad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78C"/>
    <w:rPr>
      <w:rFonts w:ascii="Cambria" w:eastAsia="Cambria" w:hAnsi="Cambria" w:cs="Times New Roman"/>
    </w:rPr>
  </w:style>
  <w:style w:type="paragraph" w:styleId="Ttulo1">
    <w:name w:val="heading 1"/>
    <w:basedOn w:val="Normal"/>
    <w:next w:val="Normal"/>
    <w:link w:val="Ttulo1Car"/>
    <w:rsid w:val="00AD578C"/>
    <w:pPr>
      <w:keepNext/>
      <w:spacing w:before="240" w:after="60"/>
      <w:outlineLvl w:val="0"/>
    </w:pPr>
    <w:rPr>
      <w:rFonts w:ascii="Calibri" w:eastAsia="Times New Roman" w:hAnsi="Calibri"/>
      <w:b/>
      <w:bCs/>
      <w:kern w:val="32"/>
      <w:sz w:val="32"/>
      <w:szCs w:val="32"/>
    </w:rPr>
  </w:style>
  <w:style w:type="paragraph" w:styleId="Ttulo2">
    <w:name w:val="heading 2"/>
    <w:basedOn w:val="Normal"/>
    <w:next w:val="Normal"/>
    <w:link w:val="Ttulo2Car"/>
    <w:qFormat/>
    <w:rsid w:val="00AD578C"/>
    <w:pPr>
      <w:keepNext/>
      <w:spacing w:line="360" w:lineRule="auto"/>
      <w:jc w:val="both"/>
      <w:outlineLvl w:val="1"/>
    </w:pPr>
    <w:rPr>
      <w:rFonts w:ascii="Arial" w:eastAsia="Times New Roman" w:hAnsi="Arial"/>
      <w:b/>
      <w:szCs w:val="20"/>
      <w:u w:val="single"/>
      <w:lang w:eastAsia="es-ES_tradnl"/>
    </w:rPr>
  </w:style>
  <w:style w:type="paragraph" w:styleId="Ttulo3">
    <w:name w:val="heading 3"/>
    <w:basedOn w:val="Normal"/>
    <w:next w:val="Normal"/>
    <w:link w:val="Ttulo3Car"/>
    <w:qFormat/>
    <w:rsid w:val="00AD578C"/>
    <w:pPr>
      <w:keepNext/>
      <w:spacing w:line="360" w:lineRule="auto"/>
      <w:ind w:right="-1652"/>
      <w:jc w:val="center"/>
      <w:outlineLvl w:val="2"/>
    </w:pPr>
    <w:rPr>
      <w:rFonts w:ascii="Arial" w:eastAsia="Times New Roman" w:hAnsi="Arial"/>
      <w:b/>
      <w:szCs w:val="20"/>
      <w:u w:val="single"/>
      <w:lang w:val="es-ES" w:eastAsia="es-ES_tradnl"/>
    </w:rPr>
  </w:style>
  <w:style w:type="paragraph" w:styleId="Ttulo4">
    <w:name w:val="heading 4"/>
    <w:basedOn w:val="Normal"/>
    <w:next w:val="Normal"/>
    <w:link w:val="Ttulo4Car"/>
    <w:rsid w:val="00AD578C"/>
    <w:pPr>
      <w:keepNext/>
      <w:spacing w:before="240" w:after="60"/>
      <w:outlineLvl w:val="3"/>
    </w:pPr>
    <w:rPr>
      <w:rFonts w:eastAsia="Times New Roman"/>
      <w:b/>
      <w:bCs/>
      <w:sz w:val="28"/>
      <w:szCs w:val="28"/>
    </w:rPr>
  </w:style>
  <w:style w:type="paragraph" w:styleId="Ttulo5">
    <w:name w:val="heading 5"/>
    <w:basedOn w:val="Normal"/>
    <w:next w:val="Normal"/>
    <w:link w:val="Ttulo5Car"/>
    <w:rsid w:val="00AD578C"/>
    <w:pPr>
      <w:spacing w:before="240" w:after="60"/>
      <w:outlineLvl w:val="4"/>
    </w:pPr>
    <w:rPr>
      <w:rFonts w:eastAsia="Times New Roman"/>
      <w:b/>
      <w:bCs/>
      <w:i/>
      <w:iCs/>
      <w:sz w:val="26"/>
      <w:szCs w:val="26"/>
    </w:rPr>
  </w:style>
  <w:style w:type="character" w:default="1" w:styleId="Fuentedeprrafopredeter">
    <w:name w:val="Default Paragraph Font"/>
    <w:semiHidden/>
    <w:unhideWhenUsed/>
  </w:style>
  <w:style w:type="table" w:default="1" w:styleId="Tablanormal">
    <w:name w:val="Normal Table"/>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character" w:customStyle="1" w:styleId="Ttulo1Car">
    <w:name w:val="Título 1 Car"/>
    <w:basedOn w:val="Fuentedeprrafopredeter"/>
    <w:link w:val="Ttulo1"/>
    <w:rsid w:val="00AD578C"/>
    <w:rPr>
      <w:rFonts w:ascii="Calibri" w:eastAsia="Times New Roman" w:hAnsi="Calibri" w:cs="Times New Roman"/>
      <w:b/>
      <w:bCs/>
      <w:kern w:val="32"/>
      <w:sz w:val="32"/>
      <w:szCs w:val="32"/>
    </w:rPr>
  </w:style>
  <w:style w:type="character" w:customStyle="1" w:styleId="Ttulo2Car">
    <w:name w:val="Título 2 Car"/>
    <w:basedOn w:val="Fuentedeprrafopredeter"/>
    <w:link w:val="Ttulo2"/>
    <w:rsid w:val="00AD578C"/>
    <w:rPr>
      <w:rFonts w:ascii="Arial" w:eastAsia="Times New Roman" w:hAnsi="Arial" w:cs="Times New Roman"/>
      <w:b/>
      <w:szCs w:val="20"/>
      <w:u w:val="single"/>
      <w:lang w:eastAsia="es-ES_tradnl"/>
    </w:rPr>
  </w:style>
  <w:style w:type="character" w:customStyle="1" w:styleId="Ttulo3Car">
    <w:name w:val="Título 3 Car"/>
    <w:basedOn w:val="Fuentedeprrafopredeter"/>
    <w:link w:val="Ttulo3"/>
    <w:rsid w:val="00AD578C"/>
    <w:rPr>
      <w:rFonts w:ascii="Arial" w:eastAsia="Times New Roman" w:hAnsi="Arial" w:cs="Times New Roman"/>
      <w:b/>
      <w:szCs w:val="20"/>
      <w:u w:val="single"/>
      <w:lang w:val="es-ES" w:eastAsia="es-ES_tradnl"/>
    </w:rPr>
  </w:style>
  <w:style w:type="character" w:customStyle="1" w:styleId="Ttulo4Car">
    <w:name w:val="Título 4 Car"/>
    <w:basedOn w:val="Fuentedeprrafopredeter"/>
    <w:link w:val="Ttulo4"/>
    <w:rsid w:val="00AD578C"/>
    <w:rPr>
      <w:rFonts w:ascii="Cambria" w:eastAsia="Times New Roman" w:hAnsi="Cambria" w:cs="Times New Roman"/>
      <w:b/>
      <w:bCs/>
      <w:sz w:val="28"/>
      <w:szCs w:val="28"/>
    </w:rPr>
  </w:style>
  <w:style w:type="character" w:customStyle="1" w:styleId="Ttulo5Car">
    <w:name w:val="Título 5 Car"/>
    <w:basedOn w:val="Fuentedeprrafopredeter"/>
    <w:link w:val="Ttulo5"/>
    <w:rsid w:val="00AD578C"/>
    <w:rPr>
      <w:rFonts w:ascii="Cambria" w:eastAsia="Times New Roman" w:hAnsi="Cambria" w:cs="Times New Roman"/>
      <w:b/>
      <w:bCs/>
      <w:i/>
      <w:iCs/>
      <w:sz w:val="26"/>
      <w:szCs w:val="26"/>
    </w:rPr>
  </w:style>
  <w:style w:type="character" w:styleId="Hipervnculo">
    <w:name w:val="Hyperlink"/>
    <w:basedOn w:val="Fuentedeprrafopredeter"/>
    <w:uiPriority w:val="99"/>
    <w:semiHidden/>
    <w:unhideWhenUsed/>
    <w:rsid w:val="00AD578C"/>
    <w:rPr>
      <w:color w:val="0000FF"/>
      <w:u w:val="single"/>
    </w:rPr>
  </w:style>
  <w:style w:type="character" w:styleId="Hipervnculovisitado">
    <w:name w:val="FollowedHyperlink"/>
    <w:basedOn w:val="Fuentedeprrafopredeter"/>
    <w:uiPriority w:val="99"/>
    <w:semiHidden/>
    <w:unhideWhenUsed/>
    <w:rsid w:val="00AD578C"/>
    <w:rPr>
      <w:color w:val="800080"/>
      <w:u w:val="single"/>
    </w:rPr>
  </w:style>
  <w:style w:type="paragraph" w:styleId="NormalWeb">
    <w:name w:val="Normal (Web)"/>
    <w:basedOn w:val="Normal"/>
    <w:uiPriority w:val="99"/>
    <w:rsid w:val="00AD578C"/>
    <w:pPr>
      <w:spacing w:beforeLines="1" w:afterLines="1"/>
    </w:pPr>
    <w:rPr>
      <w:rFonts w:ascii="Times" w:hAnsi="Times"/>
      <w:sz w:val="20"/>
      <w:szCs w:val="20"/>
      <w:lang w:eastAsia="es-ES_tradnl"/>
    </w:rPr>
  </w:style>
  <w:style w:type="paragraph" w:customStyle="1" w:styleId="Default">
    <w:name w:val="Default"/>
    <w:rsid w:val="00AD578C"/>
    <w:pPr>
      <w:autoSpaceDE w:val="0"/>
      <w:autoSpaceDN w:val="0"/>
      <w:adjustRightInd w:val="0"/>
    </w:pPr>
    <w:rPr>
      <w:rFonts w:ascii="EPLGDD+TimesNewRoman" w:eastAsia="Times New Roman" w:hAnsi="EPLGDD+TimesNewRoman" w:cs="EPLGDD+TimesNewRoman"/>
      <w:color w:val="000000"/>
      <w:lang w:val="es-ES" w:eastAsia="es-ES"/>
    </w:rPr>
  </w:style>
  <w:style w:type="paragraph" w:styleId="Ttulo">
    <w:name w:val="Title"/>
    <w:basedOn w:val="Normal"/>
    <w:link w:val="TtuloCar"/>
    <w:qFormat/>
    <w:rsid w:val="00AD578C"/>
    <w:pPr>
      <w:spacing w:line="360" w:lineRule="auto"/>
      <w:ind w:left="-567" w:right="49"/>
      <w:jc w:val="center"/>
    </w:pPr>
    <w:rPr>
      <w:rFonts w:ascii="Arial" w:eastAsia="Times New Roman" w:hAnsi="Arial"/>
      <w:b/>
      <w:szCs w:val="20"/>
      <w:u w:val="single"/>
      <w:lang w:val="es-ES" w:eastAsia="es-ES_tradnl"/>
    </w:rPr>
  </w:style>
  <w:style w:type="character" w:customStyle="1" w:styleId="TtuloCar">
    <w:name w:val="Título Car"/>
    <w:basedOn w:val="Fuentedeprrafopredeter"/>
    <w:link w:val="Ttulo"/>
    <w:rsid w:val="00AD578C"/>
    <w:rPr>
      <w:rFonts w:ascii="Arial" w:eastAsia="Times New Roman" w:hAnsi="Arial" w:cs="Times New Roman"/>
      <w:b/>
      <w:szCs w:val="20"/>
      <w:u w:val="single"/>
      <w:lang w:val="es-ES" w:eastAsia="es-ES_tradnl"/>
    </w:rPr>
  </w:style>
  <w:style w:type="paragraph" w:styleId="Textodecuerpo">
    <w:name w:val="Body Text"/>
    <w:basedOn w:val="Normal"/>
    <w:link w:val="TextodecuerpoCar"/>
    <w:rsid w:val="00AD578C"/>
    <w:pPr>
      <w:spacing w:line="360" w:lineRule="auto"/>
      <w:ind w:right="49"/>
      <w:jc w:val="both"/>
    </w:pPr>
    <w:rPr>
      <w:rFonts w:ascii="Arial" w:eastAsia="Times New Roman" w:hAnsi="Arial"/>
      <w:szCs w:val="20"/>
      <w:lang w:val="es-ES" w:eastAsia="es-ES_tradnl"/>
    </w:rPr>
  </w:style>
  <w:style w:type="character" w:customStyle="1" w:styleId="TextodecuerpoCar">
    <w:name w:val="Texto de cuerpo Car"/>
    <w:basedOn w:val="Fuentedeprrafopredeter"/>
    <w:link w:val="Textodecuerpo"/>
    <w:rsid w:val="00AD578C"/>
    <w:rPr>
      <w:rFonts w:ascii="Arial" w:eastAsia="Times New Roman" w:hAnsi="Arial" w:cs="Times New Roman"/>
      <w:szCs w:val="20"/>
      <w:lang w:val="es-ES" w:eastAsia="es-ES_tradnl"/>
    </w:rPr>
  </w:style>
  <w:style w:type="character" w:styleId="Nmerodepgina">
    <w:name w:val="page number"/>
    <w:basedOn w:val="Fuentedeprrafopredeter"/>
    <w:rsid w:val="00AD578C"/>
  </w:style>
  <w:style w:type="paragraph" w:styleId="Piedepgina">
    <w:name w:val="footer"/>
    <w:basedOn w:val="Normal"/>
    <w:link w:val="PiedepginaCar"/>
    <w:rsid w:val="00AD578C"/>
    <w:pPr>
      <w:tabs>
        <w:tab w:val="center" w:pos="4252"/>
        <w:tab w:val="right" w:pos="8504"/>
      </w:tabs>
    </w:pPr>
    <w:rPr>
      <w:rFonts w:ascii="Times New Roman" w:eastAsia="Times New Roman" w:hAnsi="Times New Roman"/>
      <w:sz w:val="20"/>
      <w:szCs w:val="20"/>
      <w:lang w:eastAsia="es-ES_tradnl"/>
    </w:rPr>
  </w:style>
  <w:style w:type="character" w:customStyle="1" w:styleId="PiedepginaCar">
    <w:name w:val="Pie de página Car"/>
    <w:basedOn w:val="Fuentedeprrafopredeter"/>
    <w:link w:val="Piedepgina"/>
    <w:rsid w:val="00AD578C"/>
    <w:rPr>
      <w:rFonts w:ascii="Times New Roman" w:eastAsia="Times New Roman" w:hAnsi="Times New Roman" w:cs="Times New Roman"/>
      <w:sz w:val="20"/>
      <w:szCs w:val="20"/>
      <w:lang w:eastAsia="es-ES_tradnl"/>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kazolas.wix.com/educaytransforma" TargetMode="External"/><Relationship Id="rId20" Type="http://schemas.openxmlformats.org/officeDocument/2006/relationships/hyperlink" Target="http://www.google.cl/imgres?imgurl=http://portafoliopadcarloscorredor.files.wordpress.com/2012/07/lamina-autorregulacion-del-aprendizaje5.jpg&amp;imgrefurl" TargetMode="External"/><Relationship Id="rId21" Type="http://schemas.openxmlformats.org/officeDocument/2006/relationships/hyperlink" Target="http://kazolas.wix.com/educaytransforma" TargetMode="External"/><Relationship Id="rId22" Type="http://schemas.openxmlformats.org/officeDocument/2006/relationships/hyperlink" Target="http://kazolas.wix.com/educaytransforma" TargetMode="External"/><Relationship Id="rId23" Type="http://schemas.openxmlformats.org/officeDocument/2006/relationships/hyperlink" Target="http://www.latindex.ucr.ac.cr/aie005.php" TargetMode="Externa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hyperlink" Target="http://kazolas.wix.com/educaytransforma" TargetMode="External"/><Relationship Id="rId12" Type="http://schemas.openxmlformats.org/officeDocument/2006/relationships/image" Target="media/image5.jpeg"/><Relationship Id="rId13" Type="http://schemas.openxmlformats.org/officeDocument/2006/relationships/hyperlink" Target="http://kazolas.wix.com/educaytransforma#!bibliografia-bloque-i/ct7f" TargetMode="External"/><Relationship Id="rId14" Type="http://schemas.openxmlformats.org/officeDocument/2006/relationships/hyperlink" Target="http://kazolas.wix.com/educaytransforma#!bibliografia-bloque-i/ct7f" TargetMode="External"/><Relationship Id="rId15" Type="http://schemas.openxmlformats.org/officeDocument/2006/relationships/hyperlink" Target="http://kazolas.wix.com/educaytransforma#!bibliografia-bloque-i/ct7f" TargetMode="External"/><Relationship Id="rId16" Type="http://schemas.openxmlformats.org/officeDocument/2006/relationships/image" Target="media/image6.jpeg"/><Relationship Id="rId17" Type="http://schemas.openxmlformats.org/officeDocument/2006/relationships/hyperlink" Target="http://kazolas.wix.com/educaytransforma#!bibliografia-bloque-i/ct7f" TargetMode="External"/><Relationship Id="rId18" Type="http://schemas.openxmlformats.org/officeDocument/2006/relationships/hyperlink" Target="http://kazolas.wix.com/educaytransforma#!bibliografia-bloque-i/ct7f" TargetMode="External"/><Relationship Id="rId19" Type="http://schemas.openxmlformats.org/officeDocument/2006/relationships/image" Target="media/image7.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kazolas.wix.com/educaytransforma#!contenido-de-la-pagina/csgz" TargetMode="Externa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18</Pages>
  <Words>5567</Words>
  <Characters>31732</Characters>
  <Application>Microsoft Macintosh Word</Application>
  <DocSecurity>0</DocSecurity>
  <Lines>264</Lines>
  <Paragraphs>63</Paragraphs>
  <ScaleCrop>false</ScaleCrop>
  <Company>Casa</Company>
  <LinksUpToDate>false</LinksUpToDate>
  <CharactersWithSpaces>38969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Katiuska Azolas</dc:creator>
  <cp:keywords/>
  <cp:lastModifiedBy>Katiuska Azolas</cp:lastModifiedBy>
  <cp:revision>1</cp:revision>
  <dcterms:created xsi:type="dcterms:W3CDTF">2013-09-02T05:35:00Z</dcterms:created>
  <dcterms:modified xsi:type="dcterms:W3CDTF">2013-09-02T05:41:00Z</dcterms:modified>
</cp:coreProperties>
</file>